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52"/>
          <w:szCs w:val="5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52"/>
          <w:szCs w:val="52"/>
        </w:rPr>
      </w:pPr>
      <w:r>
        <w:rPr>
          <w:rFonts w:hint="eastAsia" w:ascii="Times" w:hAnsi="Times" w:cs="Times"/>
          <w:b/>
          <w:color w:val="3F3F3F"/>
          <w:kern w:val="0"/>
          <w:sz w:val="52"/>
          <w:szCs w:val="52"/>
        </w:rPr>
        <w:t>中国农业品牌目录消费索引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hint="eastAsia" w:ascii="Helvetica Neue" w:hAnsi="Helvetica Neue" w:eastAsia="宋体" w:cs="Helvetica Neue"/>
          <w:b/>
          <w:color w:val="3F3F3F"/>
          <w:kern w:val="0"/>
          <w:sz w:val="40"/>
          <w:szCs w:val="26"/>
        </w:rPr>
      </w:pPr>
    </w:p>
    <w:p>
      <w:pPr>
        <w:pStyle w:val="2"/>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color w:val="000000"/>
          <w:sz w:val="44"/>
          <w:szCs w:val="44"/>
        </w:rPr>
      </w:pPr>
      <w:r>
        <w:rPr>
          <w:rFonts w:hint="eastAsia" w:ascii="Helvetica Neue" w:hAnsi="Helvetica Neue" w:eastAsia="宋体" w:cs="Helvetica Neue"/>
          <w:b/>
          <w:color w:val="3F3F3F"/>
          <w:kern w:val="0"/>
          <w:sz w:val="44"/>
          <w:szCs w:val="44"/>
          <w:lang w:val="en-US" w:eastAsia="zh-CN"/>
        </w:rPr>
        <w:t>吉林</w:t>
      </w:r>
      <w:r>
        <w:rPr>
          <w:rFonts w:hint="eastAsia" w:ascii="Helvetica Neue" w:hAnsi="Helvetica Neue" w:eastAsia="宋体" w:cs="Helvetica Neue"/>
          <w:b/>
          <w:color w:val="3F3F3F"/>
          <w:kern w:val="0"/>
          <w:sz w:val="44"/>
          <w:szCs w:val="44"/>
        </w:rPr>
        <w:t>·专辑</w:t>
      </w: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both"/>
        <w:rPr>
          <w:rFonts w:hint="default"/>
          <w:color w:val="000000"/>
        </w:rPr>
      </w:pPr>
    </w:p>
    <w:p>
      <w:pPr>
        <w:rPr>
          <w:color w:val="000000"/>
        </w:rPr>
      </w:pPr>
    </w:p>
    <w:p>
      <w:pPr>
        <w:pStyle w:val="2"/>
      </w:pPr>
    </w:p>
    <w:p/>
    <w:p>
      <w:pPr>
        <w:widowControl/>
        <w:autoSpaceDE w:val="0"/>
        <w:autoSpaceDN w:val="0"/>
        <w:adjustRightInd w:val="0"/>
        <w:snapToGrid w:val="0"/>
        <w:spacing w:line="360" w:lineRule="auto"/>
        <w:jc w:val="center"/>
        <w:rPr>
          <w:rFonts w:ascii="Times" w:hAnsi="Times" w:cs="Times"/>
          <w:b/>
          <w:color w:val="3F3F3F"/>
          <w:kern w:val="0"/>
          <w:sz w:val="30"/>
          <w:szCs w:val="30"/>
        </w:rPr>
      </w:pPr>
      <w:r>
        <w:rPr>
          <w:rFonts w:hint="eastAsia" w:ascii="Times" w:hAnsi="Times" w:cs="Times"/>
          <w:b/>
          <w:color w:val="3F3F3F"/>
          <w:kern w:val="0"/>
          <w:sz w:val="30"/>
          <w:szCs w:val="30"/>
        </w:rPr>
        <w:t>发布单位：中国农产品市场协会</w:t>
      </w:r>
    </w:p>
    <w:p/>
    <w:p>
      <w:pPr>
        <w:widowControl/>
        <w:autoSpaceDE w:val="0"/>
        <w:autoSpaceDN w:val="0"/>
        <w:adjustRightInd w:val="0"/>
        <w:snapToGrid w:val="0"/>
        <w:spacing w:line="360" w:lineRule="auto"/>
        <w:jc w:val="center"/>
        <w:rPr>
          <w:rFonts w:ascii="Times" w:hAnsi="Times" w:cs="Times"/>
          <w:b/>
          <w:color w:val="000000"/>
          <w:kern w:val="0"/>
          <w:sz w:val="30"/>
          <w:szCs w:val="30"/>
        </w:rPr>
      </w:pPr>
      <w:r>
        <w:rPr>
          <w:rFonts w:hint="eastAsia" w:ascii="Times" w:hAnsi="Times" w:eastAsia="宋体" w:cs="Times"/>
          <w:b/>
          <w:color w:val="000000"/>
          <w:kern w:val="0"/>
          <w:sz w:val="30"/>
          <w:szCs w:val="30"/>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ascii="Arial" w:hAnsi="Arial" w:cs="Times New Roman"/>
          <w:bCs/>
          <w:color w:val="000000"/>
          <w:szCs w:val="21"/>
        </w:rPr>
      </w:pPr>
      <w:r>
        <w:rPr>
          <w:rFonts w:hint="eastAsia" w:ascii="Arial" w:hAnsi="Arial" w:cs="Times New Roman"/>
          <w:bCs/>
          <w:color w:val="000000"/>
          <w:szCs w:val="21"/>
        </w:rPr>
        <w:t>关注【</w:t>
      </w:r>
      <w:r>
        <w:rPr>
          <w:rFonts w:ascii="Arial" w:hAnsi="Arial" w:cs="Times New Roman"/>
          <w:bCs/>
          <w:color w:val="000000"/>
          <w:szCs w:val="21"/>
        </w:rPr>
        <w:t>中国农业农村市场信息</w:t>
      </w:r>
      <w:r>
        <w:rPr>
          <w:rFonts w:hint="eastAsia" w:ascii="Arial" w:hAnsi="Arial" w:cs="Times New Roman"/>
          <w:bCs/>
          <w:color w:val="000000"/>
          <w:szCs w:val="21"/>
        </w:rPr>
        <w:t>】微信</w:t>
      </w:r>
      <w:r>
        <w:rPr>
          <w:rFonts w:ascii="Arial" w:hAnsi="Arial" w:cs="Times New Roman"/>
          <w:bCs/>
          <w:color w:val="000000"/>
          <w:szCs w:val="21"/>
        </w:rPr>
        <w:t>公众</w:t>
      </w:r>
      <w:r>
        <w:rPr>
          <w:rFonts w:hint="eastAsia" w:ascii="Arial" w:hAnsi="Arial" w:cs="Times New Roman"/>
          <w:bCs/>
          <w:color w:val="000000"/>
          <w:szCs w:val="21"/>
        </w:rPr>
        <w:t>平台</w:t>
      </w:r>
      <w:r>
        <w:rPr>
          <w:rFonts w:ascii="Arial" w:hAnsi="Arial" w:cs="Times New Roman"/>
          <w:bCs/>
          <w:color w:val="000000"/>
          <w:szCs w:val="21"/>
        </w:rPr>
        <w:t>，</w:t>
      </w:r>
      <w:r>
        <w:rPr>
          <w:rFonts w:hint="eastAsia" w:ascii="Arial" w:hAnsi="Arial" w:cs="Times New Roman"/>
          <w:bCs/>
          <w:color w:val="000000"/>
          <w:szCs w:val="21"/>
        </w:rPr>
        <w:t>查看更多消费索引信息</w:t>
      </w:r>
    </w:p>
    <w:p>
      <w:pPr>
        <w:jc w:val="center"/>
        <w:rPr>
          <w:rFonts w:ascii="仿宋" w:hAnsi="仿宋" w:eastAsia="仿宋" w:cs="仿宋"/>
          <w:sz w:val="30"/>
          <w:szCs w:val="30"/>
        </w:rPr>
      </w:pPr>
    </w:p>
    <w:p>
      <w:pPr>
        <w:jc w:val="center"/>
        <w:rPr>
          <w:rFonts w:ascii="黑体" w:hAnsi="黑体" w:eastAsia="黑体" w:cs="黑体"/>
          <w:sz w:val="36"/>
          <w:szCs w:val="36"/>
        </w:rPr>
      </w:pPr>
    </w:p>
    <w:p>
      <w:pPr>
        <w:widowControl/>
        <w:jc w:val="left"/>
        <w:rPr>
          <w:rFonts w:ascii="黑体" w:hAnsi="黑体" w:eastAsia="黑体" w:cs="黑体"/>
          <w:sz w:val="36"/>
          <w:szCs w:val="36"/>
        </w:rPr>
      </w:pPr>
      <w:r>
        <w:rPr>
          <w:rFonts w:ascii="黑体" w:hAnsi="黑体" w:eastAsia="黑体" w:cs="黑体"/>
          <w:sz w:val="36"/>
          <w:szCs w:val="36"/>
        </w:rPr>
        <w:br w:type="page"/>
      </w: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吉林省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吉林省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吉林省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吉林省</w:t>
      </w:r>
      <w:r>
        <w:rPr>
          <w:rFonts w:hint="eastAsia" w:ascii="仿宋" w:hAnsi="仿宋" w:eastAsia="仿宋" w:cs="仿宋"/>
          <w:sz w:val="32"/>
          <w:szCs w:val="32"/>
        </w:rPr>
        <w:t>专辑》，推介</w:t>
      </w:r>
      <w:r>
        <w:rPr>
          <w:rFonts w:hint="eastAsia" w:ascii="仿宋" w:hAnsi="仿宋" w:eastAsia="仿宋" w:cs="仿宋"/>
          <w:sz w:val="32"/>
          <w:szCs w:val="32"/>
          <w:lang w:eastAsia="zh-CN"/>
        </w:rPr>
        <w:t>吉林省</w:t>
      </w:r>
      <w:r>
        <w:rPr>
          <w:rFonts w:hint="eastAsia" w:ascii="仿宋" w:hAnsi="仿宋" w:eastAsia="仿宋" w:cs="仿宋"/>
          <w:sz w:val="32"/>
          <w:szCs w:val="32"/>
        </w:rPr>
        <w:t>农产品区域公用品牌，聚焦以</w:t>
      </w:r>
      <w:r>
        <w:rPr>
          <w:rFonts w:hint="eastAsia" w:ascii="仿宋" w:hAnsi="仿宋" w:eastAsia="仿宋" w:cs="仿宋"/>
          <w:sz w:val="32"/>
          <w:szCs w:val="32"/>
          <w:lang w:val="en-US" w:eastAsia="zh-CN"/>
        </w:rPr>
        <w:t>九台贡米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榆树大米</w:t>
      </w:r>
      <w:r>
        <w:rPr>
          <w:rFonts w:hint="eastAsia" w:ascii="仿宋" w:hAnsi="仿宋" w:eastAsia="仿宋" w:cs="仿宋"/>
          <w:sz w:val="32"/>
          <w:szCs w:val="32"/>
        </w:rPr>
        <w:t>为代表的粮食产品，以</w:t>
      </w:r>
      <w:r>
        <w:rPr>
          <w:rFonts w:hint="eastAsia" w:ascii="仿宋" w:hAnsi="仿宋" w:eastAsia="仿宋" w:cs="仿宋"/>
          <w:sz w:val="32"/>
          <w:szCs w:val="32"/>
          <w:lang w:val="en-US" w:eastAsia="zh-CN"/>
        </w:rPr>
        <w:t>双阳梅花鹿</w:t>
      </w:r>
      <w:r>
        <w:rPr>
          <w:rFonts w:hint="eastAsia" w:ascii="仿宋" w:hAnsi="仿宋" w:eastAsia="仿宋" w:cs="仿宋"/>
          <w:sz w:val="32"/>
          <w:szCs w:val="32"/>
        </w:rPr>
        <w:t>为代表的畜产品，</w:t>
      </w:r>
      <w:r>
        <w:rPr>
          <w:rFonts w:hint="eastAsia" w:ascii="仿宋" w:hAnsi="仿宋" w:eastAsia="仿宋" w:cs="仿宋"/>
          <w:sz w:val="32"/>
          <w:szCs w:val="32"/>
          <w:lang w:val="en-US" w:eastAsia="zh-CN"/>
        </w:rPr>
        <w:t>以查干湖淡水鱼为代表的水产品，以黄松甸黑木耳为代表的食用菌产品，以抚松人参为代表的中药材产品，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吉林省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吉林省</w:t>
      </w:r>
      <w:r>
        <w:rPr>
          <w:rFonts w:hint="eastAsia" w:ascii="仿宋" w:hAnsi="仿宋" w:eastAsia="仿宋" w:cs="仿宋"/>
          <w:sz w:val="32"/>
          <w:szCs w:val="32"/>
        </w:rPr>
        <w:t>农产品区域公用品牌的发展和农民增收。</w:t>
      </w:r>
    </w:p>
    <w:p>
      <w:pPr>
        <w:rPr>
          <w:rFonts w:ascii="仿宋" w:hAnsi="仿宋" w:eastAsia="仿宋" w:cs="仿宋"/>
          <w:sz w:val="30"/>
          <w:szCs w:val="30"/>
        </w:rPr>
      </w:pPr>
    </w:p>
    <w:p>
      <w:pPr>
        <w:rPr>
          <w:rFonts w:ascii="仿宋" w:hAnsi="仿宋" w:eastAsia="仿宋" w:cs="仿宋"/>
          <w:sz w:val="30"/>
          <w:szCs w:val="30"/>
        </w:rPr>
      </w:pPr>
    </w:p>
    <w:p>
      <w:pPr>
        <w:pStyle w:val="2"/>
        <w:rPr>
          <w:rFonts w:ascii="仿宋" w:hAnsi="仿宋" w:eastAsia="仿宋" w:cs="仿宋"/>
          <w:sz w:val="30"/>
          <w:szCs w:val="30"/>
        </w:rPr>
      </w:pPr>
    </w:p>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中国农产品市场协会</w:t>
      </w:r>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2020年</w:t>
      </w:r>
      <w:r>
        <w:rPr>
          <w:rFonts w:ascii="仿宋" w:hAnsi="仿宋" w:eastAsia="仿宋" w:cs="仿宋"/>
          <w:sz w:val="32"/>
          <w:szCs w:val="32"/>
        </w:rPr>
        <w:t>1</w:t>
      </w:r>
      <w:r>
        <w:rPr>
          <w:rFonts w:hint="eastAsia" w:ascii="仿宋" w:hAnsi="仿宋" w:eastAsia="仿宋" w:cs="仿宋"/>
          <w:sz w:val="32"/>
          <w:szCs w:val="32"/>
          <w:lang w:val="en-US" w:eastAsia="zh-CN"/>
        </w:rPr>
        <w:t>2</w:t>
      </w:r>
      <w:r>
        <w:rPr>
          <w:rFonts w:hint="eastAsia" w:ascii="仿宋" w:hAnsi="仿宋" w:eastAsia="仿宋" w:cs="仿宋"/>
          <w:sz w:val="32"/>
          <w:szCs w:val="32"/>
        </w:rPr>
        <w:t>月</w:t>
      </w:r>
    </w:p>
    <w:p>
      <w:pPr>
        <w:rPr>
          <w:rFonts w:ascii="仿宋" w:hAnsi="仿宋" w:eastAsia="仿宋" w:cs="仿宋"/>
          <w:sz w:val="30"/>
          <w:szCs w:val="30"/>
        </w:rPr>
      </w:pPr>
    </w:p>
    <w:p>
      <w:pPr>
        <w:rPr>
          <w:rFonts w:hint="eastAsia" w:ascii="黑体" w:hAnsi="黑体" w:eastAsia="黑体" w:cs="黑体"/>
          <w:sz w:val="36"/>
          <w:szCs w:val="36"/>
        </w:rPr>
      </w:pPr>
    </w:p>
    <w:sdt>
      <w:sdtPr>
        <w:rPr>
          <w:rFonts w:hint="eastAsia" w:ascii="黑体" w:hAnsi="黑体" w:eastAsia="黑体" w:cs="黑体"/>
          <w:sz w:val="36"/>
          <w:szCs w:val="36"/>
        </w:rPr>
        <w:id w:val="147475682"/>
        <w15:color w:val="DBDBDB"/>
        <w:docPartObj>
          <w:docPartGallery w:val="Table of Contents"/>
          <w:docPartUnique/>
        </w:docPartObj>
      </w:sdtPr>
      <w:sdtEndPr>
        <w:rPr>
          <w:rFonts w:hint="eastAsia" w:ascii="微软雅黑" w:hAnsi="微软雅黑" w:eastAsia="微软雅黑" w:cs="微软雅黑"/>
          <w:b/>
          <w:sz w:val="32"/>
          <w:szCs w:val="32"/>
        </w:rPr>
      </w:sdtEndPr>
      <w:sdtContent>
        <w:p>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目   录</w:t>
          </w:r>
        </w:p>
        <w:p>
          <w:pPr>
            <w:pStyle w:val="2"/>
            <w:rPr>
              <w:rFonts w:hint="eastAsia" w:ascii="仿宋" w:hAnsi="仿宋" w:eastAsia="仿宋" w:cs="仿宋"/>
              <w:sz w:val="36"/>
              <w:szCs w:val="36"/>
            </w:rPr>
          </w:pPr>
        </w:p>
        <w:p>
          <w:pPr>
            <w:pStyle w:val="10"/>
            <w:tabs>
              <w:tab w:val="right" w:leader="dot" w:pos="8306"/>
            </w:tabs>
            <w:rPr>
              <w:rFonts w:hint="eastAsia" w:ascii="仿宋" w:hAnsi="仿宋" w:eastAsia="仿宋" w:cs="仿宋"/>
              <w:sz w:val="36"/>
              <w:szCs w:val="36"/>
            </w:rPr>
          </w:pP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TOC \o "1-2" \h \u </w:instrText>
          </w:r>
          <w:r>
            <w:rPr>
              <w:rFonts w:hint="eastAsia" w:ascii="仿宋" w:hAnsi="仿宋" w:eastAsia="仿宋" w:cs="仿宋"/>
              <w:b w:val="0"/>
              <w:bCs w:val="0"/>
              <w:sz w:val="36"/>
              <w:szCs w:val="36"/>
            </w:rPr>
            <w:fldChar w:fldCharType="separate"/>
          </w: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_Toc1151 </w:instrText>
          </w:r>
          <w:r>
            <w:rPr>
              <w:rFonts w:hint="eastAsia" w:ascii="仿宋" w:hAnsi="仿宋" w:eastAsia="仿宋" w:cs="仿宋"/>
              <w:bCs w:val="0"/>
              <w:sz w:val="36"/>
              <w:szCs w:val="36"/>
            </w:rPr>
            <w:fldChar w:fldCharType="separate"/>
          </w:r>
          <w:r>
            <w:rPr>
              <w:rFonts w:hint="eastAsia" w:ascii="仿宋" w:hAnsi="仿宋" w:eastAsia="仿宋" w:cs="仿宋"/>
              <w:sz w:val="36"/>
              <w:szCs w:val="36"/>
            </w:rPr>
            <w:t>九台贡米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_Toc1151 </w:instrText>
          </w:r>
          <w:r>
            <w:rPr>
              <w:rFonts w:hint="eastAsia" w:ascii="仿宋" w:hAnsi="仿宋" w:eastAsia="仿宋" w:cs="仿宋"/>
              <w:sz w:val="36"/>
              <w:szCs w:val="36"/>
            </w:rPr>
            <w:fldChar w:fldCharType="separate"/>
          </w:r>
          <w:r>
            <w:rPr>
              <w:rFonts w:hint="eastAsia" w:ascii="仿宋" w:hAnsi="仿宋" w:eastAsia="仿宋" w:cs="仿宋"/>
              <w:sz w:val="36"/>
              <w:szCs w:val="36"/>
            </w:rPr>
            <w:t>4</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_Toc10470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榆树大米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_Toc10470 </w:instrText>
          </w:r>
          <w:r>
            <w:rPr>
              <w:rFonts w:hint="eastAsia" w:ascii="仿宋" w:hAnsi="仿宋" w:eastAsia="仿宋" w:cs="仿宋"/>
              <w:sz w:val="36"/>
              <w:szCs w:val="36"/>
            </w:rPr>
            <w:fldChar w:fldCharType="separate"/>
          </w:r>
          <w:r>
            <w:rPr>
              <w:rFonts w:hint="eastAsia" w:ascii="仿宋" w:hAnsi="仿宋" w:eastAsia="仿宋" w:cs="仿宋"/>
              <w:sz w:val="36"/>
              <w:szCs w:val="36"/>
            </w:rPr>
            <w:t>7</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_Toc13630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乾安肉羊</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_Toc13630 </w:instrText>
          </w:r>
          <w:r>
            <w:rPr>
              <w:rFonts w:hint="eastAsia" w:ascii="仿宋" w:hAnsi="仿宋" w:eastAsia="仿宋" w:cs="仿宋"/>
              <w:sz w:val="36"/>
              <w:szCs w:val="36"/>
            </w:rPr>
            <w:fldChar w:fldCharType="separate"/>
          </w:r>
          <w:r>
            <w:rPr>
              <w:rFonts w:hint="eastAsia" w:ascii="仿宋" w:hAnsi="仿宋" w:eastAsia="仿宋" w:cs="仿宋"/>
              <w:sz w:val="36"/>
              <w:szCs w:val="36"/>
            </w:rPr>
            <w:t>10</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_Toc32124 </w:instrText>
          </w:r>
          <w:r>
            <w:rPr>
              <w:rFonts w:hint="eastAsia" w:ascii="仿宋" w:hAnsi="仿宋" w:eastAsia="仿宋" w:cs="仿宋"/>
              <w:bCs w:val="0"/>
              <w:sz w:val="36"/>
              <w:szCs w:val="36"/>
            </w:rPr>
            <w:fldChar w:fldCharType="separate"/>
          </w:r>
          <w:r>
            <w:rPr>
              <w:rFonts w:hint="eastAsia" w:ascii="仿宋" w:hAnsi="仿宋" w:eastAsia="仿宋" w:cs="仿宋"/>
              <w:sz w:val="36"/>
              <w:szCs w:val="36"/>
            </w:rPr>
            <w:t>双阳梅花鹿</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_Toc32124 </w:instrText>
          </w:r>
          <w:r>
            <w:rPr>
              <w:rFonts w:hint="eastAsia" w:ascii="仿宋" w:hAnsi="仿宋" w:eastAsia="仿宋" w:cs="仿宋"/>
              <w:sz w:val="36"/>
              <w:szCs w:val="36"/>
            </w:rPr>
            <w:fldChar w:fldCharType="separate"/>
          </w:r>
          <w:r>
            <w:rPr>
              <w:rFonts w:hint="eastAsia" w:ascii="仿宋" w:hAnsi="仿宋" w:eastAsia="仿宋" w:cs="仿宋"/>
              <w:sz w:val="36"/>
              <w:szCs w:val="36"/>
            </w:rPr>
            <w:t>13</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_Toc3869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汪清黑木耳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_Toc3869 </w:instrText>
          </w:r>
          <w:r>
            <w:rPr>
              <w:rFonts w:hint="eastAsia" w:ascii="仿宋" w:hAnsi="仿宋" w:eastAsia="仿宋" w:cs="仿宋"/>
              <w:sz w:val="36"/>
              <w:szCs w:val="36"/>
            </w:rPr>
            <w:fldChar w:fldCharType="separate"/>
          </w:r>
          <w:r>
            <w:rPr>
              <w:rFonts w:hint="eastAsia" w:ascii="仿宋" w:hAnsi="仿宋" w:eastAsia="仿宋" w:cs="仿宋"/>
              <w:sz w:val="36"/>
              <w:szCs w:val="36"/>
            </w:rPr>
            <w:t>16</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_Toc17560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抚松人参</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_Toc17560 </w:instrText>
          </w:r>
          <w:r>
            <w:rPr>
              <w:rFonts w:hint="eastAsia" w:ascii="仿宋" w:hAnsi="仿宋" w:eastAsia="仿宋" w:cs="仿宋"/>
              <w:sz w:val="36"/>
              <w:szCs w:val="36"/>
            </w:rPr>
            <w:fldChar w:fldCharType="separate"/>
          </w:r>
          <w:r>
            <w:rPr>
              <w:rFonts w:hint="eastAsia" w:ascii="仿宋" w:hAnsi="仿宋" w:eastAsia="仿宋" w:cs="仿宋"/>
              <w:sz w:val="36"/>
              <w:szCs w:val="36"/>
            </w:rPr>
            <w:t>19</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_Toc10432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梅河大米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_Toc10432 </w:instrText>
          </w:r>
          <w:r>
            <w:rPr>
              <w:rFonts w:hint="eastAsia" w:ascii="仿宋" w:hAnsi="仿宋" w:eastAsia="仿宋" w:cs="仿宋"/>
              <w:sz w:val="36"/>
              <w:szCs w:val="36"/>
            </w:rPr>
            <w:fldChar w:fldCharType="separate"/>
          </w:r>
          <w:r>
            <w:rPr>
              <w:rFonts w:hint="eastAsia" w:ascii="仿宋" w:hAnsi="仿宋" w:eastAsia="仿宋" w:cs="仿宋"/>
              <w:sz w:val="36"/>
              <w:szCs w:val="36"/>
            </w:rPr>
            <w:t>22</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_Toc25455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舒兰大米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_Toc25455 </w:instrText>
          </w:r>
          <w:r>
            <w:rPr>
              <w:rFonts w:hint="eastAsia" w:ascii="仿宋" w:hAnsi="仿宋" w:eastAsia="仿宋" w:cs="仿宋"/>
              <w:sz w:val="36"/>
              <w:szCs w:val="36"/>
            </w:rPr>
            <w:fldChar w:fldCharType="separate"/>
          </w:r>
          <w:r>
            <w:rPr>
              <w:rFonts w:hint="eastAsia" w:ascii="仿宋" w:hAnsi="仿宋" w:eastAsia="仿宋" w:cs="仿宋"/>
              <w:sz w:val="36"/>
              <w:szCs w:val="36"/>
            </w:rPr>
            <w:t>24</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_Toc24349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桦甸黄牛</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_Toc24349 </w:instrText>
          </w:r>
          <w:r>
            <w:rPr>
              <w:rFonts w:hint="eastAsia" w:ascii="仿宋" w:hAnsi="仿宋" w:eastAsia="仿宋" w:cs="仿宋"/>
              <w:sz w:val="36"/>
              <w:szCs w:val="36"/>
            </w:rPr>
            <w:fldChar w:fldCharType="separate"/>
          </w:r>
          <w:r>
            <w:rPr>
              <w:rFonts w:hint="eastAsia" w:ascii="仿宋" w:hAnsi="仿宋" w:eastAsia="仿宋" w:cs="仿宋"/>
              <w:sz w:val="36"/>
              <w:szCs w:val="36"/>
            </w:rPr>
            <w:t>25</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_Toc1360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查干湖淡水鱼</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_Toc1360 </w:instrText>
          </w:r>
          <w:r>
            <w:rPr>
              <w:rFonts w:hint="eastAsia" w:ascii="仿宋" w:hAnsi="仿宋" w:eastAsia="仿宋" w:cs="仿宋"/>
              <w:sz w:val="36"/>
              <w:szCs w:val="36"/>
            </w:rPr>
            <w:fldChar w:fldCharType="separate"/>
          </w:r>
          <w:r>
            <w:rPr>
              <w:rFonts w:hint="eastAsia" w:ascii="仿宋" w:hAnsi="仿宋" w:eastAsia="仿宋" w:cs="仿宋"/>
              <w:sz w:val="36"/>
              <w:szCs w:val="36"/>
            </w:rPr>
            <w:t>27</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pStyle w:val="10"/>
            <w:tabs>
              <w:tab w:val="right" w:leader="dot" w:pos="8306"/>
            </w:tabs>
            <w:rPr>
              <w:rFonts w:hint="eastAsia" w:ascii="仿宋" w:hAnsi="仿宋" w:eastAsia="仿宋" w:cs="仿宋"/>
              <w:sz w:val="36"/>
              <w:szCs w:val="36"/>
            </w:rPr>
          </w:pPr>
          <w:r>
            <w:rPr>
              <w:rFonts w:hint="eastAsia" w:ascii="仿宋" w:hAnsi="仿宋" w:eastAsia="仿宋" w:cs="仿宋"/>
              <w:bCs w:val="0"/>
              <w:sz w:val="36"/>
              <w:szCs w:val="36"/>
            </w:rPr>
            <w:fldChar w:fldCharType="begin"/>
          </w:r>
          <w:r>
            <w:rPr>
              <w:rFonts w:hint="eastAsia" w:ascii="仿宋" w:hAnsi="仿宋" w:eastAsia="仿宋" w:cs="仿宋"/>
              <w:bCs w:val="0"/>
              <w:sz w:val="36"/>
              <w:szCs w:val="36"/>
            </w:rPr>
            <w:instrText xml:space="preserve"> HYPERLINK \l _Toc12726 </w:instrText>
          </w:r>
          <w:r>
            <w:rPr>
              <w:rFonts w:hint="eastAsia" w:ascii="仿宋" w:hAnsi="仿宋" w:eastAsia="仿宋" w:cs="仿宋"/>
              <w:bCs w:val="0"/>
              <w:sz w:val="36"/>
              <w:szCs w:val="36"/>
            </w:rPr>
            <w:fldChar w:fldCharType="separate"/>
          </w:r>
          <w:r>
            <w:rPr>
              <w:rFonts w:hint="eastAsia" w:ascii="仿宋" w:hAnsi="仿宋" w:eastAsia="仿宋" w:cs="仿宋"/>
              <w:sz w:val="36"/>
              <w:szCs w:val="36"/>
              <w:lang w:val="en-US" w:eastAsia="zh-CN"/>
            </w:rPr>
            <w:t>黄松甸黑木耳</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_Toc12726 </w:instrText>
          </w:r>
          <w:r>
            <w:rPr>
              <w:rFonts w:hint="eastAsia" w:ascii="仿宋" w:hAnsi="仿宋" w:eastAsia="仿宋" w:cs="仿宋"/>
              <w:sz w:val="36"/>
              <w:szCs w:val="36"/>
            </w:rPr>
            <w:fldChar w:fldCharType="separate"/>
          </w:r>
          <w:r>
            <w:rPr>
              <w:rFonts w:hint="eastAsia" w:ascii="仿宋" w:hAnsi="仿宋" w:eastAsia="仿宋" w:cs="仿宋"/>
              <w:sz w:val="36"/>
              <w:szCs w:val="36"/>
            </w:rPr>
            <w:t>28</w:t>
          </w:r>
          <w:r>
            <w:rPr>
              <w:rFonts w:hint="eastAsia" w:ascii="仿宋" w:hAnsi="仿宋" w:eastAsia="仿宋" w:cs="仿宋"/>
              <w:sz w:val="36"/>
              <w:szCs w:val="36"/>
            </w:rPr>
            <w:fldChar w:fldCharType="end"/>
          </w:r>
          <w:r>
            <w:rPr>
              <w:rFonts w:hint="eastAsia" w:ascii="仿宋" w:hAnsi="仿宋" w:eastAsia="仿宋" w:cs="仿宋"/>
              <w:bCs w:val="0"/>
              <w:sz w:val="36"/>
              <w:szCs w:val="36"/>
            </w:rPr>
            <w:fldChar w:fldCharType="end"/>
          </w:r>
        </w:p>
        <w:p>
          <w:pPr>
            <w:spacing w:line="360" w:lineRule="auto"/>
            <w:rPr>
              <w:rFonts w:hint="eastAsia" w:ascii="微软雅黑" w:hAnsi="微软雅黑" w:eastAsia="微软雅黑" w:cs="微软雅黑"/>
              <w:b/>
              <w:sz w:val="32"/>
              <w:szCs w:val="32"/>
            </w:rPr>
          </w:pPr>
          <w:r>
            <w:rPr>
              <w:rFonts w:hint="eastAsia" w:ascii="仿宋" w:hAnsi="仿宋" w:eastAsia="仿宋" w:cs="仿宋"/>
              <w:bCs w:val="0"/>
              <w:sz w:val="36"/>
              <w:szCs w:val="36"/>
            </w:rPr>
            <w:fldChar w:fldCharType="end"/>
          </w:r>
        </w:p>
      </w:sdtContent>
    </w:sdt>
    <w:p>
      <w:pPr>
        <w:rPr>
          <w:rFonts w:ascii="仿宋" w:hAnsi="仿宋" w:eastAsia="仿宋" w:cs="仿宋"/>
          <w:sz w:val="30"/>
          <w:szCs w:val="30"/>
        </w:rPr>
      </w:pPr>
    </w:p>
    <w:p>
      <w:pPr>
        <w:rPr>
          <w:rFonts w:ascii="仿宋" w:hAnsi="仿宋" w:eastAsia="仿宋" w:cs="仿宋"/>
          <w:sz w:val="30"/>
          <w:szCs w:val="30"/>
        </w:rPr>
      </w:pPr>
    </w:p>
    <w:p>
      <w:pPr>
        <w:pStyle w:val="2"/>
        <w:rPr>
          <w:rFonts w:hint="eastAsia" w:ascii="仿宋" w:hAnsi="仿宋" w:eastAsia="仿宋" w:cs="仿宋"/>
          <w:sz w:val="30"/>
          <w:szCs w:val="30"/>
        </w:rPr>
      </w:pPr>
      <w:r>
        <w:rPr>
          <w:rFonts w:hint="eastAsia" w:ascii="仿宋" w:hAnsi="仿宋" w:eastAsia="仿宋" w:cs="仿宋"/>
          <w:sz w:val="30"/>
          <w:szCs w:val="30"/>
        </w:rPr>
        <w:t xml:space="preserve">   </w:t>
      </w:r>
    </w:p>
    <w:p>
      <w:pPr>
        <w:pStyle w:val="2"/>
        <w:rPr>
          <w:rFonts w:hint="eastAsia" w:ascii="仿宋" w:hAnsi="仿宋" w:eastAsia="仿宋" w:cs="仿宋"/>
          <w:sz w:val="30"/>
          <w:szCs w:val="30"/>
        </w:rPr>
      </w:pPr>
    </w:p>
    <w:p>
      <w:pPr>
        <w:pStyle w:val="2"/>
        <w:jc w:val="both"/>
        <w:rPr>
          <w:rFonts w:ascii="仿宋" w:hAnsi="仿宋" w:eastAsia="仿宋" w:cs="仿宋"/>
          <w:sz w:val="30"/>
          <w:szCs w:val="30"/>
        </w:rPr>
      </w:pPr>
      <w:r>
        <w:rPr>
          <w:rFonts w:hint="eastAsia" w:ascii="仿宋" w:hAnsi="仿宋" w:eastAsia="仿宋" w:cs="仿宋"/>
          <w:sz w:val="30"/>
          <w:szCs w:val="30"/>
        </w:rPr>
        <w:t xml:space="preserve">                                                                                                                                                                                                                                                                                                                                                                                                                                                                                                                                                                                                                                                                                                                                                                                                                                                                                                                                                                                                                                                                                                                                                                                                                                                                                                                                                                                                                                                                                                                                                                                                                                                                                                                                                                                                                                                                                                                                                                     </w:t>
      </w:r>
    </w:p>
    <w:p>
      <w:pPr>
        <w:pStyle w:val="3"/>
        <w:bidi w:val="0"/>
        <w:jc w:val="center"/>
        <w:rPr>
          <w:rFonts w:hint="default"/>
        </w:rPr>
      </w:pPr>
      <w:bookmarkStart w:id="0" w:name="_Toc1151"/>
      <w:bookmarkStart w:id="1" w:name="_Toc22407"/>
      <w:bookmarkStart w:id="2" w:name="_Toc13491"/>
      <w:bookmarkStart w:id="3" w:name="_Toc28180"/>
      <w:bookmarkStart w:id="4" w:name="_Toc26728"/>
      <w:bookmarkStart w:id="5" w:name="_Toc1658674219"/>
      <w:bookmarkStart w:id="6" w:name="_Toc10793"/>
      <w:bookmarkStart w:id="7" w:name="_Toc29177"/>
      <w:bookmarkStart w:id="8" w:name="_Toc21617"/>
      <w:bookmarkStart w:id="9" w:name="_Toc10639"/>
      <w:bookmarkStart w:id="10" w:name="_Toc14376"/>
      <w:bookmarkStart w:id="11" w:name="_Toc30986"/>
      <w:r>
        <w:t>九台贡米</w:t>
      </w:r>
      <w:bookmarkEnd w:id="0"/>
      <w:bookmarkEnd w:id="1"/>
    </w:p>
    <w:p>
      <w:pPr>
        <w:widowControl/>
        <w:adjustRightInd w:val="0"/>
        <w:snapToGrid w:val="0"/>
        <w:spacing w:line="360" w:lineRule="auto"/>
        <w:ind w:firstLine="0" w:firstLineChars="0"/>
        <w:jc w:val="center"/>
        <w:textAlignment w:val="center"/>
        <w:rPr>
          <w:rFonts w:ascii="宋体" w:hAnsi="宋体" w:cs="黑体"/>
          <w:b/>
          <w:bCs/>
          <w:color w:val="000000"/>
          <w:sz w:val="28"/>
        </w:rPr>
      </w:pPr>
      <w:r>
        <w:rPr>
          <w:rFonts w:ascii="宋体" w:hAnsi="宋体" w:cs="黑体"/>
          <w:b/>
          <w:bCs/>
          <w:color w:val="000000"/>
          <w:sz w:val="28"/>
        </w:rPr>
        <w:drawing>
          <wp:inline distT="0" distB="0" distL="114300" distR="114300">
            <wp:extent cx="5088890" cy="7037705"/>
            <wp:effectExtent l="0" t="0" r="16510" b="10795"/>
            <wp:docPr id="298" name="图片 121" descr="九台贡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21" descr="九台贡米1"/>
                    <pic:cNvPicPr>
                      <a:picLocks noChangeAspect="1"/>
                    </pic:cNvPicPr>
                  </pic:nvPicPr>
                  <pic:blipFill>
                    <a:blip r:embed="rId7"/>
                    <a:stretch>
                      <a:fillRect/>
                    </a:stretch>
                  </pic:blipFill>
                  <pic:spPr>
                    <a:xfrm>
                      <a:off x="0" y="0"/>
                      <a:ext cx="5088890" cy="7037705"/>
                    </a:xfrm>
                    <a:prstGeom prst="rect">
                      <a:avLst/>
                    </a:prstGeom>
                    <a:noFill/>
                    <a:ln w="9525">
                      <a:noFill/>
                    </a:ln>
                  </pic:spPr>
                </pic:pic>
              </a:graphicData>
            </a:graphic>
          </wp:inline>
        </w:drawing>
      </w:r>
    </w:p>
    <w:p>
      <w:pPr>
        <w:widowControl/>
        <w:adjustRightInd w:val="0"/>
        <w:snapToGrid w:val="0"/>
        <w:spacing w:line="360" w:lineRule="auto"/>
        <w:ind w:firstLine="0" w:firstLineChars="0"/>
        <w:jc w:val="left"/>
        <w:textAlignment w:val="center"/>
        <w:rPr>
          <w:rFonts w:ascii="宋体" w:hAnsi="宋体" w:cs="黑体"/>
          <w:b/>
          <w:bCs/>
          <w:color w:val="000000"/>
          <w:sz w:val="28"/>
        </w:rPr>
      </w:pPr>
    </w:p>
    <w:p>
      <w:pPr>
        <w:widowControl/>
        <w:adjustRightInd w:val="0"/>
        <w:snapToGrid w:val="0"/>
        <w:spacing w:line="360" w:lineRule="auto"/>
        <w:ind w:firstLine="0" w:firstLineChars="0"/>
        <w:jc w:val="left"/>
        <w:textAlignment w:val="center"/>
        <w:rPr>
          <w:rFonts w:ascii="宋体" w:hAnsi="宋体" w:cs="黑体"/>
          <w:b/>
          <w:bCs/>
          <w:color w:val="000000"/>
          <w:sz w:val="28"/>
        </w:rPr>
      </w:pPr>
    </w:p>
    <w:tbl>
      <w:tblPr>
        <w:tblStyle w:val="13"/>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1763"/>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吉林省长春市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九台区</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九台贡米</w:t>
            </w:r>
          </w:p>
        </w:tc>
        <w:tc>
          <w:tcPr>
            <w:tcW w:w="43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09320" cy="599440"/>
                  <wp:effectExtent l="0" t="0" r="5080" b="10160"/>
                  <wp:docPr id="299" name="图片 123" descr="c85b93de7b86a79970924f13bb44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23" descr="c85b93de7b86a79970924f13bb442f4"/>
                          <pic:cNvPicPr>
                            <a:picLocks noChangeAspect="1"/>
                          </pic:cNvPicPr>
                        </pic:nvPicPr>
                        <pic:blipFill>
                          <a:blip r:embed="rId8"/>
                          <a:stretch>
                            <a:fillRect/>
                          </a:stretch>
                        </pic:blipFill>
                        <pic:spPr>
                          <a:xfrm>
                            <a:off x="0" y="0"/>
                            <a:ext cx="909320" cy="599440"/>
                          </a:xfrm>
                          <a:prstGeom prst="rect">
                            <a:avLst/>
                          </a:prstGeom>
                          <a:noFill/>
                          <a:ln w="9525">
                            <a:noFill/>
                          </a:ln>
                        </pic:spPr>
                      </pic:pic>
                    </a:graphicData>
                  </a:graphic>
                </wp:inline>
              </w:drawing>
            </w: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INCLUDEPICTURE \d "C:\\Documents and Settings\\Administrator\\Application Data\\Tencent\\Users\\365184\\QQ\\WinTemp\\RichOle\\ZOX]AFLG3X1T9(01S5~9EKP.png" \* MERGEFORMATINET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drawing>
                <wp:inline distT="0" distB="0" distL="114300" distR="114300">
                  <wp:extent cx="892810" cy="553085"/>
                  <wp:effectExtent l="0" t="0" r="2540" b="18415"/>
                  <wp:docPr id="30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7" descr="IMG_256"/>
                          <pic:cNvPicPr>
                            <a:picLocks noChangeAspect="1"/>
                          </pic:cNvPicPr>
                        </pic:nvPicPr>
                        <pic:blipFill>
                          <a:blip r:embed="rId9"/>
                          <a:srcRect l="3812" r="2118" b="4182"/>
                          <a:stretch>
                            <a:fillRect/>
                          </a:stretch>
                        </pic:blipFill>
                        <pic:spPr>
                          <a:xfrm>
                            <a:off x="0" y="0"/>
                            <a:ext cx="892810" cy="553085"/>
                          </a:xfrm>
                          <a:prstGeom prst="rect">
                            <a:avLst/>
                          </a:prstGeom>
                          <a:noFill/>
                          <a:ln>
                            <a:noFill/>
                          </a:ln>
                        </pic:spPr>
                      </pic:pic>
                    </a:graphicData>
                  </a:graphic>
                </wp:inline>
              </w:drawing>
            </w:r>
            <w:r>
              <w:rPr>
                <w:rFonts w:hint="eastAsia" w:ascii="仿宋" w:hAnsi="仿宋" w:eastAsia="仿宋" w:cs="仿宋"/>
                <w:b w:val="0"/>
                <w:bCs w:val="0"/>
                <w:sz w:val="24"/>
                <w:szCs w:val="24"/>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皇粮贡米 香飘万里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长春市九台区农业农村局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长春市九台区农业农村局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长春市九台区人民政府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东经126°23′，北纬44°20′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农产品地理标志产品、第四批中国重要农业文化遗产、第二批中国全球重要农业文化遗产预备名单、第十九批全国绿色食品原料标准化生产基地。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9"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九台五官屯贡米，产自松花江畔，明永乐六年（1408）设置奇塔穆河卫，主要职责是征集粮食，清康熙四十五年（1706）设立五官屯，作为皇粮贡米产地，现主产地在其塔木镇、莽卡乡和胡家乡。五官屯地处松花江最平坦之岸，土黑而沃野千里，属温带大陆性季风气候，在“黄金水稻带”上 ；五官屯的粳稻是自古传承下来的特有的稻米品系，由古时洼地旱作发展到现在的水田生产，其米“重如沙、亮如玉、汤如乳、溢浓香，誉为稻米中的极品”，古稻种子现仍大面积种植，自古沿用的东北传统的酸菜水育苗，防治苗期病害亦在当代进行实践。由贡米栽培而衍生出的渔猎、鹰猎、萨满、稻作、饮食文化，亦传承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1、九台区其塔木镇五官屯种植业家庭农场——五官屯品牌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2、吉林省五官屯农业发展有限公司——松其渠品牌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3、九台区上河湾镇士军种植家庭农场——贶恒品牌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4、长春市九台区宏昇米业有限公司——士吉品牌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5、九台区其塔木镇北大山农副产品有限公司——晒尔哈台品牌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6、吉林省弘达农业服务有限公司——坤玉田王品牌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21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淘宝店铺：五官屯大米（五官屯品牌）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淘宝店铺：士军绿色种植农场营养鲜米（贶恒品牌）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微信公众号：弘达农业服务（坤玉田王品牌）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1、五官屯品牌：九台区幸福之家仓储超市--九台区民乐路550号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2、贶恒品牌：士军农场营养鲜米门店：九台区碧水尚城步行街十字路口西100米士军农场营养鲜米门（15590534937、19904479033）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3、士吉品牌：九台区三道街农发行家属楼东5门市-西城社区对过（13844967279）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4、晒尔哈台品牌：其塔木五洲门市（18343166606）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5、坤玉田王品牌：九台区物流大街饮马河赐泉米业有限公司（18686372313、18543172303）</w:t>
            </w:r>
          </w:p>
        </w:tc>
      </w:tr>
    </w:tbl>
    <w:p>
      <w:pPr>
        <w:ind w:firstLine="420"/>
        <w:rPr>
          <w:color w:val="000000"/>
        </w:rPr>
      </w:pPr>
    </w:p>
    <w:p>
      <w:pPr>
        <w:ind w:firstLine="420"/>
        <w:rPr>
          <w:color w:val="000000"/>
        </w:rPr>
      </w:pPr>
    </w:p>
    <w:p>
      <w:pPr>
        <w:ind w:firstLine="420"/>
        <w:rPr>
          <w:color w:val="000000"/>
        </w:rPr>
      </w:pPr>
    </w:p>
    <w:p>
      <w:pPr>
        <w:pStyle w:val="3"/>
        <w:bidi w:val="0"/>
        <w:jc w:val="center"/>
        <w:rPr>
          <w:rFonts w:hint="eastAsia"/>
          <w:lang w:val="en-US" w:eastAsia="zh-CN"/>
        </w:rPr>
      </w:pPr>
    </w:p>
    <w:p>
      <w:pPr>
        <w:rPr>
          <w:rFonts w:hint="eastAsia"/>
          <w:lang w:val="en-US" w:eastAsia="zh-CN"/>
        </w:rPr>
      </w:pPr>
    </w:p>
    <w:p>
      <w:pPr>
        <w:pStyle w:val="3"/>
        <w:bidi w:val="0"/>
        <w:jc w:val="center"/>
        <w:rPr>
          <w:rFonts w:hint="eastAsia" w:asciiTheme="minorEastAsia" w:hAnsiTheme="minorEastAsia" w:cstheme="minorEastAsia"/>
          <w:b/>
          <w:bCs/>
          <w:sz w:val="28"/>
          <w:szCs w:val="28"/>
          <w:lang w:val="en-US" w:eastAsia="zh-CN"/>
        </w:rPr>
      </w:pPr>
      <w:bookmarkStart w:id="12" w:name="_Toc10470"/>
      <w:r>
        <w:rPr>
          <w:rFonts w:hint="eastAsia"/>
          <w:lang w:val="en-US" w:eastAsia="zh-CN"/>
        </w:rPr>
        <w:t>榆树大米</w:t>
      </w:r>
      <w:bookmarkEnd w:id="12"/>
    </w:p>
    <w:p>
      <w:pPr>
        <w:widowControl/>
        <w:ind w:firstLine="0" w:firstLineChars="0"/>
        <w:jc w:val="center"/>
        <w:textAlignment w:val="center"/>
        <w:rPr>
          <w:rFonts w:cs="黑体" w:asciiTheme="minorEastAsia" w:hAnsiTheme="minorEastAsia" w:eastAsiaTheme="minorEastAsia"/>
          <w:b/>
          <w:bCs/>
          <w:sz w:val="28"/>
        </w:rPr>
      </w:pPr>
      <w:r>
        <w:drawing>
          <wp:inline distT="0" distB="0" distL="0" distR="0">
            <wp:extent cx="5270500" cy="7431405"/>
            <wp:effectExtent l="0" t="0" r="6350" b="171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431405"/>
                    </a:xfrm>
                    <a:prstGeom prst="rect">
                      <a:avLst/>
                    </a:prstGeom>
                    <a:noFill/>
                    <a:ln>
                      <a:noFill/>
                    </a:ln>
                  </pic:spPr>
                </pic:pic>
              </a:graphicData>
            </a:graphic>
          </wp:inline>
        </w:drawing>
      </w:r>
    </w:p>
    <w:p>
      <w:pPr>
        <w:widowControl/>
        <w:ind w:firstLine="0" w:firstLineChars="0"/>
        <w:jc w:val="left"/>
        <w:textAlignment w:val="center"/>
        <w:rPr>
          <w:rFonts w:hint="eastAsia" w:cs="黑体" w:asciiTheme="minorEastAsia" w:hAnsiTheme="minorEastAsia" w:eastAsiaTheme="minorEastAsia"/>
          <w:b/>
          <w:bCs/>
          <w:sz w:val="28"/>
          <w:lang w:eastAsia="zh-CN"/>
        </w:rPr>
      </w:pPr>
    </w:p>
    <w:tbl>
      <w:tblPr>
        <w:tblStyle w:val="14"/>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1762"/>
        <w:gridCol w:w="4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原 产 地</w:t>
            </w:r>
          </w:p>
        </w:tc>
        <w:tc>
          <w:tcPr>
            <w:tcW w:w="1762"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品牌名称</w:t>
            </w:r>
          </w:p>
        </w:tc>
        <w:tc>
          <w:tcPr>
            <w:tcW w:w="4318"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highlight w:val="none"/>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val="0"/>
                <w:bCs w:val="0"/>
                <w:sz w:val="24"/>
                <w:szCs w:val="24"/>
                <w:lang w:val="en-US" w:eastAsia="zh-CN"/>
              </w:rPr>
              <w:t>吉林省</w:t>
            </w:r>
            <w:r>
              <w:rPr>
                <w:rFonts w:hint="eastAsia" w:ascii="仿宋" w:hAnsi="仿宋" w:eastAsia="仿宋" w:cs="仿宋"/>
                <w:b w:val="0"/>
                <w:bCs w:val="0"/>
                <w:sz w:val="24"/>
                <w:szCs w:val="24"/>
              </w:rPr>
              <w:t>榆树市</w:t>
            </w:r>
          </w:p>
        </w:tc>
        <w:tc>
          <w:tcPr>
            <w:tcW w:w="1762"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sz w:val="24"/>
                <w:szCs w:val="24"/>
              </w:rPr>
            </w:pPr>
            <w:r>
              <w:rPr>
                <w:rFonts w:hint="eastAsia" w:ascii="仿宋" w:hAnsi="仿宋" w:eastAsia="仿宋" w:cs="仿宋"/>
                <w:sz w:val="24"/>
                <w:szCs w:val="24"/>
              </w:rPr>
              <w:t>榆树大米</w:t>
            </w:r>
          </w:p>
        </w:tc>
        <w:tc>
          <w:tcPr>
            <w:tcW w:w="4318"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default" w:ascii="仿宋" w:hAnsi="仿宋" w:eastAsia="宋体" w:cs="仿宋"/>
                <w:color w:val="7F7F7F" w:themeColor="background1" w:themeShade="80"/>
                <w:sz w:val="24"/>
                <w:szCs w:val="24"/>
                <w:lang w:val="en-US" w:eastAsia="zh-CN"/>
              </w:rPr>
            </w:pPr>
            <w:r>
              <w:rPr>
                <w:rFonts w:hint="eastAsia" w:ascii="仿宋" w:hAnsi="仿宋" w:eastAsia="仿宋" w:cs="仿宋"/>
                <w:color w:val="7F7F7F" w:themeColor="background1" w:themeShade="80"/>
                <w:sz w:val="24"/>
                <w:szCs w:val="24"/>
                <w:lang w:val="zh-CN"/>
              </w:rPr>
              <w:drawing>
                <wp:inline distT="0" distB="0" distL="0" distR="0">
                  <wp:extent cx="903605" cy="594995"/>
                  <wp:effectExtent l="0" t="0" r="10795" b="146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a:stretch>
                            <a:fillRect/>
                          </a:stretch>
                        </pic:blipFill>
                        <pic:spPr>
                          <a:xfrm>
                            <a:off x="0" y="0"/>
                            <a:ext cx="903605" cy="594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天下第一粮仓 榆树大米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榆树市稻米产业协会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榆树市农业农村局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榆树市粮食和物资储备局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北纬44</w:t>
            </w:r>
            <w:r>
              <w:rPr>
                <w:rFonts w:hint="eastAsia" w:ascii="仿宋" w:hAnsi="仿宋" w:eastAsia="仿宋" w:cs="仿宋"/>
                <w:sz w:val="24"/>
                <w:szCs w:val="24"/>
                <w:vertAlign w:val="superscript"/>
              </w:rPr>
              <w:t>○</w:t>
            </w:r>
            <w:r>
              <w:rPr>
                <w:rFonts w:hint="eastAsia" w:ascii="仿宋" w:hAnsi="仿宋" w:eastAsia="仿宋" w:cs="仿宋"/>
                <w:sz w:val="24"/>
                <w:szCs w:val="24"/>
              </w:rPr>
              <w:t>30＇57＂—45</w:t>
            </w:r>
            <w:r>
              <w:rPr>
                <w:rFonts w:hint="eastAsia" w:ascii="仿宋" w:hAnsi="仿宋" w:eastAsia="仿宋" w:cs="仿宋"/>
                <w:sz w:val="24"/>
                <w:szCs w:val="24"/>
                <w:vertAlign w:val="superscript"/>
              </w:rPr>
              <w:t>○</w:t>
            </w:r>
            <w:r>
              <w:rPr>
                <w:rFonts w:hint="eastAsia" w:ascii="仿宋" w:hAnsi="仿宋" w:eastAsia="仿宋" w:cs="仿宋"/>
                <w:sz w:val="24"/>
                <w:szCs w:val="24"/>
              </w:rPr>
              <w:t>15＇02＂、东经126</w:t>
            </w:r>
            <w:r>
              <w:rPr>
                <w:rFonts w:hint="eastAsia" w:ascii="仿宋" w:hAnsi="仿宋" w:eastAsia="仿宋" w:cs="仿宋"/>
                <w:sz w:val="24"/>
                <w:szCs w:val="24"/>
                <w:vertAlign w:val="superscript"/>
              </w:rPr>
              <w:t>○</w:t>
            </w:r>
            <w:r>
              <w:rPr>
                <w:rFonts w:hint="eastAsia" w:ascii="仿宋" w:hAnsi="仿宋" w:eastAsia="仿宋" w:cs="仿宋"/>
                <w:sz w:val="24"/>
                <w:szCs w:val="24"/>
              </w:rPr>
              <w:t>01＇44＂—127</w:t>
            </w:r>
            <w:r>
              <w:rPr>
                <w:rFonts w:hint="eastAsia" w:ascii="仿宋" w:hAnsi="仿宋" w:eastAsia="仿宋" w:cs="仿宋"/>
                <w:sz w:val="24"/>
                <w:szCs w:val="24"/>
                <w:vertAlign w:val="superscript"/>
              </w:rPr>
              <w:t>○</w:t>
            </w:r>
            <w:r>
              <w:rPr>
                <w:rFonts w:hint="eastAsia" w:ascii="仿宋" w:hAnsi="仿宋" w:eastAsia="仿宋" w:cs="仿宋"/>
                <w:sz w:val="24"/>
                <w:szCs w:val="24"/>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sz w:val="24"/>
                <w:szCs w:val="24"/>
                <w:lang w:eastAsia="zh-CN"/>
              </w:rPr>
            </w:pPr>
            <w:r>
              <w:rPr>
                <w:rFonts w:hint="eastAsia" w:ascii="仿宋" w:hAnsi="仿宋" w:eastAsia="仿宋" w:cs="仿宋"/>
                <w:sz w:val="24"/>
                <w:szCs w:val="24"/>
              </w:rPr>
              <w:t>2018中国十大大米区域公用品牌</w:t>
            </w:r>
            <w:r>
              <w:rPr>
                <w:rFonts w:hint="eastAsia" w:ascii="仿宋" w:hAnsi="仿宋" w:eastAsia="仿宋" w:cs="仿宋"/>
                <w:sz w:val="24"/>
                <w:szCs w:val="24"/>
                <w:lang w:eastAsia="zh-CN"/>
              </w:rPr>
              <w:t>、</w:t>
            </w:r>
            <w:r>
              <w:rPr>
                <w:rFonts w:hint="eastAsia" w:ascii="仿宋" w:hAnsi="仿宋" w:eastAsia="仿宋" w:cs="仿宋"/>
                <w:sz w:val="24"/>
                <w:szCs w:val="24"/>
              </w:rPr>
              <w:t>2018中国十大好吃米饭</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榆树大米，米粒细长整齐均匀、晶莹剔透，“爆腰米”少，碾压硬度较高。有自然稻香味，色泽鲜亮、光滑，呈青白色，新米手摸有凉爽感。具有食味鲜美柔嫩、胀性良好、出饭率好、口感筋粘绵香、营养丰富、易消化吸收。榆树市种植水稻历史悠久，有《赵学官寻稻》、《奶米的由来》等传说和京韵大鼓《杨玉兰卖大米》等，早期记述见于日伪统治时期编撰的《榆树县志》史料（1943年编），对榆树种植水稻有明确记载。尽管上限时间不清，但在清光绪34年（1908年）水稻面积已达500公顷。榆树大米自2009年3月取得地理标志使用权以后，建立无公害水稻面积25万亩，绿色食品认证面积4.1万亩，有机认证面积2.2万亩，列为国家绿色食品原料水稻标准化生产基地面积23.6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80" w:type="dxa"/>
            <w:gridSpan w:val="2"/>
            <w:vAlign w:val="center"/>
          </w:tcPr>
          <w:p>
            <w:pPr>
              <w:keepNext w:val="0"/>
              <w:keepLines w:val="0"/>
              <w:pageBreakBefore w:val="0"/>
              <w:widowControl/>
              <w:numPr>
                <w:ilvl w:val="0"/>
                <w:numId w:val="1"/>
              </w:numPr>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rPr>
              <w:t>榆树市蓝河坝米业有限公司</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榆树市坤泰农产品有限公司</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榆树市吉富米业有限公司</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sz w:val="24"/>
                <w:szCs w:val="24"/>
              </w:rPr>
            </w:pPr>
            <w:r>
              <w:rPr>
                <w:rFonts w:hint="eastAsia" w:ascii="仿宋" w:hAnsi="仿宋" w:eastAsia="仿宋" w:cs="仿宋"/>
                <w:sz w:val="24"/>
                <w:szCs w:val="24"/>
              </w:rPr>
              <w:t>吉林省金裕米业有限公司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吉林省榆树市延和天丰制米有限公司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9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80"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1、淘宝店铺：</w:t>
            </w:r>
            <w:r>
              <w:rPr>
                <w:rFonts w:hint="eastAsia" w:ascii="仿宋" w:hAnsi="仿宋" w:eastAsia="仿宋" w:cs="仿宋"/>
                <w:sz w:val="24"/>
                <w:szCs w:val="24"/>
              </w:rPr>
              <w:t>蓝河坝米业诚信店</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2、淘宝店铺：</w:t>
            </w:r>
            <w:r>
              <w:rPr>
                <w:rFonts w:hint="eastAsia" w:ascii="仿宋" w:hAnsi="仿宋" w:eastAsia="仿宋" w:cs="仿宋"/>
                <w:sz w:val="24"/>
                <w:szCs w:val="24"/>
              </w:rPr>
              <w:t>乾蕴</w:t>
            </w:r>
            <w:r>
              <w:rPr>
                <w:rFonts w:hint="eastAsia" w:ascii="仿宋" w:hAnsi="仿宋" w:eastAsia="仿宋" w:cs="仿宋"/>
                <w:sz w:val="24"/>
                <w:szCs w:val="24"/>
                <w:lang w:val="en-US" w:eastAsia="zh-CN"/>
              </w:rPr>
              <w:t xml:space="preserve">榆树大米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3、天猫店铺：</w:t>
            </w:r>
            <w:r>
              <w:rPr>
                <w:rFonts w:hint="eastAsia" w:ascii="仿宋" w:hAnsi="仿宋" w:eastAsia="仿宋" w:cs="仿宋"/>
                <w:sz w:val="24"/>
                <w:szCs w:val="24"/>
              </w:rPr>
              <w:t>碧江雪玉食品旗舰店</w:t>
            </w:r>
          </w:p>
        </w:tc>
      </w:tr>
    </w:tbl>
    <w:p>
      <w:pPr>
        <w:pStyle w:val="3"/>
        <w:bidi w:val="0"/>
        <w:jc w:val="both"/>
        <w:rPr>
          <w:rFonts w:hint="eastAsia"/>
          <w:lang w:val="en-US" w:eastAsia="zh-CN"/>
        </w:rPr>
      </w:pPr>
    </w:p>
    <w:p>
      <w:pPr>
        <w:rPr>
          <w:rFonts w:hint="eastAsia"/>
          <w:lang w:val="en-US" w:eastAsia="zh-CN"/>
        </w:rPr>
      </w:pPr>
    </w:p>
    <w:p>
      <w:pPr>
        <w:pStyle w:val="3"/>
        <w:bidi w:val="0"/>
        <w:jc w:val="center"/>
        <w:rPr>
          <w:rFonts w:hint="eastAsia"/>
          <w:lang w:val="en-US" w:eastAsia="zh-CN"/>
        </w:rPr>
      </w:pPr>
    </w:p>
    <w:p>
      <w:pPr>
        <w:pStyle w:val="3"/>
        <w:bidi w:val="0"/>
        <w:jc w:val="center"/>
        <w:rPr>
          <w:rFonts w:hint="eastAsia"/>
          <w:lang w:val="en-US" w:eastAsia="zh-CN"/>
        </w:rPr>
      </w:pPr>
    </w:p>
    <w:p>
      <w:pPr>
        <w:pStyle w:val="3"/>
        <w:bidi w:val="0"/>
        <w:jc w:val="both"/>
        <w:rPr>
          <w:rFonts w:hint="eastAsia"/>
          <w:lang w:val="en-US" w:eastAsia="zh-CN"/>
        </w:rPr>
      </w:pPr>
    </w:p>
    <w:p>
      <w:pPr>
        <w:pStyle w:val="3"/>
        <w:bidi w:val="0"/>
        <w:jc w:val="center"/>
        <w:rPr>
          <w:rFonts w:hint="eastAsia"/>
          <w:lang w:val="en-US" w:eastAsia="zh-CN"/>
        </w:rPr>
      </w:pPr>
    </w:p>
    <w:p>
      <w:pPr>
        <w:rPr>
          <w:rFonts w:hint="eastAsia"/>
          <w:lang w:val="en-US" w:eastAsia="zh-CN"/>
        </w:rPr>
      </w:pPr>
    </w:p>
    <w:p>
      <w:pPr>
        <w:pStyle w:val="2"/>
        <w:rPr>
          <w:rFonts w:hint="eastAsia"/>
          <w:lang w:val="en-US" w:eastAsia="zh-CN"/>
        </w:rPr>
      </w:pPr>
    </w:p>
    <w:p>
      <w:pPr>
        <w:pStyle w:val="3"/>
        <w:bidi w:val="0"/>
        <w:jc w:val="center"/>
        <w:rPr>
          <w:rFonts w:hint="eastAsia"/>
          <w:lang w:val="en-US" w:eastAsia="zh-CN"/>
        </w:rPr>
      </w:pPr>
      <w:bookmarkStart w:id="13" w:name="_Toc13630"/>
      <w:r>
        <w:rPr>
          <w:rFonts w:hint="eastAsia"/>
          <w:lang w:val="en-US" w:eastAsia="zh-CN"/>
        </w:rPr>
        <w:t>乾安肉羊</w:t>
      </w:r>
      <w:bookmarkEnd w:id="13"/>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73040" cy="7385685"/>
            <wp:effectExtent l="0" t="0" r="3810" b="5715"/>
            <wp:docPr id="6" name="图片 5" descr="89d226e382c52e9c286593dcc8cd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9d226e382c52e9c286593dcc8cd74c"/>
                    <pic:cNvPicPr>
                      <a:picLocks noChangeAspect="1"/>
                    </pic:cNvPicPr>
                  </pic:nvPicPr>
                  <pic:blipFill>
                    <a:blip r:embed="rId12"/>
                    <a:stretch>
                      <a:fillRect/>
                    </a:stretch>
                  </pic:blipFill>
                  <pic:spPr>
                    <a:xfrm>
                      <a:off x="0" y="0"/>
                      <a:ext cx="5273040" cy="7385685"/>
                    </a:xfrm>
                    <a:prstGeom prst="rect">
                      <a:avLst/>
                    </a:prstGeom>
                    <a:noFill/>
                    <a:ln>
                      <a:noFill/>
                    </a:ln>
                  </pic:spPr>
                </pic:pic>
              </a:graphicData>
            </a:graphic>
          </wp:inline>
        </w:drawing>
      </w:r>
    </w:p>
    <w:p>
      <w:pPr>
        <w:pStyle w:val="2"/>
        <w:jc w:val="both"/>
      </w:pPr>
    </w:p>
    <w:tbl>
      <w:tblPr>
        <w:tblStyle w:val="13"/>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761"/>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吉林省松原市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乾安县</w:t>
            </w:r>
          </w:p>
        </w:tc>
        <w:tc>
          <w:tcPr>
            <w:tcW w:w="1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乾安肉羊</w:t>
            </w:r>
          </w:p>
        </w:tc>
        <w:tc>
          <w:tcPr>
            <w:tcW w:w="4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宋体" w:hAnsi="宋体" w:eastAsia="宋体" w:cs="宋体"/>
                <w:bCs/>
                <w:color w:val="7F7F7F"/>
                <w:szCs w:val="21"/>
                <w:lang w:eastAsia="zh-CN"/>
              </w:rPr>
              <w:drawing>
                <wp:inline distT="0" distB="0" distL="114300" distR="114300">
                  <wp:extent cx="854075" cy="686435"/>
                  <wp:effectExtent l="0" t="0" r="3175" b="18415"/>
                  <wp:docPr id="21" name="图片 21"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img1"/>
                          <pic:cNvPicPr>
                            <a:picLocks noChangeAspect="1"/>
                          </pic:cNvPicPr>
                        </pic:nvPicPr>
                        <pic:blipFill>
                          <a:blip r:embed="rId13"/>
                          <a:stretch>
                            <a:fillRect/>
                          </a:stretch>
                        </pic:blipFill>
                        <pic:spPr>
                          <a:xfrm>
                            <a:off x="0" y="0"/>
                            <a:ext cx="854075" cy="686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乾安肉羊 美味畅想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乾安县农业农村局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乾安县农业农村局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乾安肉羊协会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吉林省松原市乾安县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1"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乾安县位于松花江、嫩江汇合处以南，属松花江第二和第三阶地，有“乾安台地”之称，土壤环境质量评价达到《土壤环境质量标准》（GB15618）二级标准，地表水质量达到《地表水环境质量标准》三级。2018年经国家批准，被吉林省质量技术监督局认定为地理标志产品《地理标准产品乾安县羊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1"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肉羊在吉林省畜牧业中占据重要位置，在人们的消费需求中具有不可替代性，因其高品质的肉质，越来越受到消费者青睐。乾安县是肉羊养殖主要大县，羊肉产量位居全省第五位。2013年-2015年我县实施了“百万种群”工程，通过政策指引和资金刺激，肉羊产业快速发展，从2013年的60万只，发展到目前的180万只。2018年年存栏肉羊75余万只，年出栏110余万只，主要分布在乾安县南部乡镇。近年来，乾安志华种羊繁育有限公司，自主培育的“乾华肉用美利奴羊”通过国家品种审定，存栏种羊6000只；吉林省乾羊农牧业有限公司，投资5亿元建场，现存栏肉羊1.3万只，培育的“乾安红头”羊家喻户晓；三泰牧业的“萨湖羊”，顺安养殖场的南非美利奴羊也打开市场，获得了多个奖项。2016年乾安“羊肉地理标志”申报成功，推动乾安县肉羊产业走上新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2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吉林省乾羊农牧业有限公司</w:t>
            </w:r>
            <w:r>
              <w:rPr>
                <w:rFonts w:hint="eastAsia" w:ascii="仿宋" w:hAnsi="仿宋" w:eastAsia="仿宋" w:cs="仿宋"/>
                <w:sz w:val="24"/>
                <w:szCs w:val="24"/>
              </w:rPr>
              <w:t>——</w:t>
            </w:r>
            <w:r>
              <w:rPr>
                <w:rFonts w:hint="eastAsia" w:ascii="仿宋" w:hAnsi="仿宋" w:eastAsia="仿宋" w:cs="仿宋"/>
                <w:sz w:val="24"/>
                <w:szCs w:val="24"/>
                <w:lang w:val="en-US" w:eastAsia="zh-CN"/>
              </w:rPr>
              <w:t>乾羊牧业品牌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2、吉林乾华牧业有限公司——乾华牧</w:t>
            </w:r>
            <w:r>
              <w:rPr>
                <w:rFonts w:hint="eastAsia" w:ascii="仿宋" w:hAnsi="仿宋" w:eastAsia="仿宋" w:cs="仿宋"/>
                <w:sz w:val="24"/>
                <w:szCs w:val="24"/>
                <w:lang w:val="en-US" w:eastAsia="zh-CN"/>
              </w:rPr>
              <w:t>业品牌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3、乾安志华种羊繁育有限公司——志华种羊</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219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2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1、苏宁超市：</w:t>
            </w:r>
            <w:r>
              <w:rPr>
                <w:rFonts w:hint="eastAsia" w:ascii="仿宋" w:hAnsi="仿宋" w:eastAsia="仿宋" w:cs="仿宋"/>
                <w:sz w:val="24"/>
                <w:szCs w:val="24"/>
                <w:highlight w:val="none"/>
              </w:rPr>
              <w:t>乾华牧业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2、邻里社交电商平台：小区乐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3、直营电商平台：食享会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219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2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乾华牧业</w:t>
            </w:r>
            <w:r>
              <w:rPr>
                <w:rFonts w:hint="eastAsia" w:ascii="仿宋" w:hAnsi="仿宋" w:eastAsia="仿宋" w:cs="仿宋"/>
                <w:sz w:val="24"/>
                <w:szCs w:val="24"/>
                <w:lang w:val="en-US" w:eastAsia="zh-CN"/>
              </w:rPr>
              <w:t>品牌：吉林省松原市乾安县（0431-89863011）</w:t>
            </w:r>
          </w:p>
        </w:tc>
      </w:tr>
    </w:tbl>
    <w:p>
      <w:pPr>
        <w:adjustRightInd w:val="0"/>
        <w:snapToGrid w:val="0"/>
        <w:spacing w:line="360" w:lineRule="auto"/>
        <w:ind w:firstLine="0" w:firstLineChars="0"/>
        <w:jc w:val="center"/>
        <w:rPr>
          <w:rFonts w:ascii="宋体" w:hAnsi="宋体" w:cs="宋体"/>
          <w:b/>
          <w:bCs/>
          <w:sz w:val="28"/>
          <w:szCs w:val="28"/>
          <w:highlight w:val="yellow"/>
        </w:rPr>
      </w:pPr>
    </w:p>
    <w:p>
      <w:pPr>
        <w:pStyle w:val="2"/>
      </w:pPr>
    </w:p>
    <w:p>
      <w:pPr>
        <w:pStyle w:val="3"/>
        <w:bidi w:val="0"/>
        <w:jc w:val="center"/>
        <w:rPr>
          <w:rFonts w:hint="default"/>
        </w:rPr>
      </w:pPr>
      <w:bookmarkStart w:id="14" w:name="_Toc32124"/>
      <w:r>
        <w:t>双阳梅花鹿</w:t>
      </w:r>
      <w:bookmarkEnd w:id="2"/>
      <w:bookmarkEnd w:id="14"/>
    </w:p>
    <w:p>
      <w:pPr>
        <w:widowControl/>
        <w:adjustRightInd w:val="0"/>
        <w:snapToGrid w:val="0"/>
        <w:spacing w:line="360" w:lineRule="auto"/>
        <w:ind w:firstLine="0" w:firstLineChars="0"/>
        <w:jc w:val="center"/>
        <w:textAlignment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166360" cy="7289800"/>
            <wp:effectExtent l="0" t="0" r="15240" b="6350"/>
            <wp:docPr id="33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46"/>
                    <pic:cNvPicPr>
                      <a:picLocks noChangeAspect="1"/>
                    </pic:cNvPicPr>
                  </pic:nvPicPr>
                  <pic:blipFill>
                    <a:blip r:embed="rId14"/>
                    <a:stretch>
                      <a:fillRect/>
                    </a:stretch>
                  </pic:blipFill>
                  <pic:spPr>
                    <a:xfrm>
                      <a:off x="0" y="0"/>
                      <a:ext cx="5166360" cy="7289800"/>
                    </a:xfrm>
                    <a:prstGeom prst="rect">
                      <a:avLst/>
                    </a:prstGeom>
                    <a:noFill/>
                    <a:ln w="9525">
                      <a:noFill/>
                    </a:ln>
                  </pic:spPr>
                </pic:pic>
              </a:graphicData>
            </a:graphic>
          </wp:inline>
        </w:drawing>
      </w:r>
    </w:p>
    <w:p>
      <w:pPr>
        <w:pStyle w:val="2"/>
      </w:pPr>
    </w:p>
    <w:tbl>
      <w:tblPr>
        <w:tblStyle w:val="13"/>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1785"/>
        <w:gridCol w:w="4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吉林省长春市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双阳区</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双阳梅花鹿</w:t>
            </w:r>
          </w:p>
        </w:tc>
        <w:tc>
          <w:tcPr>
            <w:tcW w:w="4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61390" cy="701675"/>
                  <wp:effectExtent l="0" t="0" r="10160" b="3175"/>
                  <wp:docPr id="331" name="图片 147"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47" descr="地理标志证明商标"/>
                          <pic:cNvPicPr>
                            <a:picLocks noChangeAspect="1"/>
                          </pic:cNvPicPr>
                        </pic:nvPicPr>
                        <pic:blipFill>
                          <a:blip r:embed="rId15"/>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中国双阳 世界鹿乡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长春市双阳区鹿乡镇人民政府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长春市双阳区农业农村局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长春市双阳区鹿业协会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吉林省长春市双阳区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国家科技进步一等奖、吉林省著名商标、吉林省名牌产品、最具影响力中国农产品区域公用品牌、最受消费者喜爱的中国农产品区域公用品牌、被誉为“中国梅花鹿之乡”。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9"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双阳区养鹿历史悠久，距今已有300多年，鹿业是双阳独具特色的经济支柱产业，双阳区成为全国最大的鹿产品生产基地和鹿副产品集散地。双阳区委区政府采取多种举措，结合打造生态旅游城，深入挖掘梅花鹿文化内涵，助推鹿产业快速发展，如城市雕塑、文化长廊、人文景观建设，打造梅花鹿主题公园。在文献记载人工驯养梅花鹿最早即双阳梅花鹿的发源地—鹿乡镇盘古屯，建设凸显双阳梅花鹿历史和浓厚文化底蕴的民俗文化村。目前，双阳区梅花鹿发展数为26万只，养鹿户1.3万余户，遍布全区8个乡镇（街道）。鹿副产品加工企业50余家，生产加工六大类130个品种，实现了鹿产品制药、保健品、饮品深加工等多个方面的新突破，产品远销韩国、日本、香港等国家和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1、长春世鹿鹿业集团有限公司——世鹿品牌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2、吉林省长生鹿业有限公司——健鹿生品牌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3、吉林省鹿业生物制品有限公司——鹿典品牌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4、长春市长龙鹿业有限公司——鹿骄子品牌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5、长春瑞龙鹿业有限公司——财鹿品牌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2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1、天猫店铺：世鹿旗舰店（世鹿品牌）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2、微信小程序：长生鹿业商城（健鹿生品牌）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22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5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1、鹿典品牌：吉韩庄特产馆：长春市人民大街1621号（0431-82952000）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2、鹿骄子品牌：长春市长龙鹿业有限公司：长春市双阳区鹿乡镇鹿乡大街（400-656-2599）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3、财鹿品牌：长春瑞龙鹿业有限公司：长春市双阳区鹿乡镇鹿乡大街（0431-84141482）</w:t>
            </w:r>
          </w:p>
        </w:tc>
      </w:tr>
    </w:tbl>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bookmarkEnd w:id="3"/>
    <w:bookmarkEnd w:id="4"/>
    <w:bookmarkEnd w:id="5"/>
    <w:bookmarkEnd w:id="6"/>
    <w:bookmarkEnd w:id="7"/>
    <w:bookmarkEnd w:id="8"/>
    <w:bookmarkEnd w:id="9"/>
    <w:bookmarkEnd w:id="10"/>
    <w:bookmarkEnd w:id="11"/>
    <w:p>
      <w:pPr>
        <w:rPr>
          <w:rFonts w:ascii="仿宋" w:hAnsi="仿宋" w:eastAsia="仿宋" w:cs="仿宋"/>
          <w:sz w:val="30"/>
          <w:szCs w:val="30"/>
        </w:rPr>
      </w:pPr>
    </w:p>
    <w:p>
      <w:pPr>
        <w:pStyle w:val="5"/>
        <w:adjustRightInd w:val="0"/>
        <w:snapToGrid w:val="0"/>
        <w:spacing w:before="0" w:after="0" w:line="360" w:lineRule="auto"/>
        <w:ind w:firstLine="0" w:firstLineChars="0"/>
        <w:jc w:val="center"/>
        <w:rPr>
          <w:rFonts w:hint="eastAsia" w:eastAsia="宋体"/>
          <w:sz w:val="52"/>
          <w:szCs w:val="52"/>
          <w:lang w:eastAsia="zh-CN"/>
        </w:rPr>
      </w:pPr>
      <w:bookmarkStart w:id="15" w:name="_Toc3869"/>
      <w:r>
        <w:rPr>
          <w:rStyle w:val="26"/>
          <w:rFonts w:hint="eastAsia"/>
          <w:b/>
          <w:lang w:val="en-US" w:eastAsia="zh-CN"/>
        </w:rPr>
        <w:t>汪清黑木耳</w:t>
      </w:r>
      <w:bookmarkEnd w:id="15"/>
      <w:r>
        <w:rPr>
          <w:rFonts w:hint="eastAsia" w:eastAsia="宋体"/>
          <w:sz w:val="52"/>
          <w:szCs w:val="52"/>
          <w:lang w:eastAsia="zh-CN"/>
        </w:rPr>
        <w:drawing>
          <wp:inline distT="0" distB="0" distL="114300" distR="114300">
            <wp:extent cx="5269230" cy="7439660"/>
            <wp:effectExtent l="0" t="0" r="7620" b="8890"/>
            <wp:docPr id="9" name="图片 7" descr="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7+24--"/>
                    <pic:cNvPicPr>
                      <a:picLocks noChangeAspect="1"/>
                    </pic:cNvPicPr>
                  </pic:nvPicPr>
                  <pic:blipFill>
                    <a:blip r:embed="rId16"/>
                    <a:stretch>
                      <a:fillRect/>
                    </a:stretch>
                  </pic:blipFill>
                  <pic:spPr>
                    <a:xfrm>
                      <a:off x="0" y="0"/>
                      <a:ext cx="5269230" cy="7439660"/>
                    </a:xfrm>
                    <a:prstGeom prst="rect">
                      <a:avLst/>
                    </a:prstGeom>
                    <a:noFill/>
                    <a:ln>
                      <a:noFill/>
                    </a:ln>
                  </pic:spPr>
                </pic:pic>
              </a:graphicData>
            </a:graphic>
          </wp:inline>
        </w:drawing>
      </w:r>
    </w:p>
    <w:p>
      <w:pPr>
        <w:rPr>
          <w:rFonts w:hint="eastAsia" w:eastAsia="宋体"/>
          <w:sz w:val="52"/>
          <w:szCs w:val="52"/>
          <w:lang w:eastAsia="zh-C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739"/>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val="0"/>
                <w:bCs w:val="0"/>
                <w:sz w:val="24"/>
                <w:szCs w:val="24"/>
                <w:lang w:eastAsia="zh-CN"/>
              </w:rPr>
              <w:t>吉林</w:t>
            </w:r>
            <w:r>
              <w:rPr>
                <w:rFonts w:hint="eastAsia" w:ascii="仿宋" w:hAnsi="仿宋" w:eastAsia="仿宋" w:cs="仿宋"/>
                <w:b w:val="0"/>
                <w:bCs w:val="0"/>
                <w:sz w:val="24"/>
                <w:szCs w:val="24"/>
                <w:lang w:val="en-US" w:eastAsia="zh-CN"/>
              </w:rPr>
              <w:t>省延</w:t>
            </w:r>
            <w:r>
              <w:rPr>
                <w:rFonts w:hint="eastAsia" w:ascii="仿宋" w:hAnsi="仿宋" w:eastAsia="仿宋" w:cs="仿宋"/>
                <w:b w:val="0"/>
                <w:bCs w:val="0"/>
                <w:sz w:val="24"/>
                <w:szCs w:val="24"/>
                <w:lang w:eastAsia="zh-CN"/>
              </w:rPr>
              <w:t>边朝鲜族自治州汪清县</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汪清黑木耳</w:t>
            </w:r>
          </w:p>
        </w:tc>
        <w:tc>
          <w:tcPr>
            <w:tcW w:w="4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33730" cy="633730"/>
                  <wp:effectExtent l="0" t="0" r="13970" b="13970"/>
                  <wp:docPr id="8" name="图片 8"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农业部地理标志"/>
                          <pic:cNvPicPr>
                            <a:picLocks noChangeAspect="1"/>
                          </pic:cNvPicPr>
                        </pic:nvPicPr>
                        <pic:blipFill>
                          <a:blip r:embed="rId17"/>
                          <a:stretch>
                            <a:fillRect/>
                          </a:stretch>
                        </pic:blipFill>
                        <pic:spPr>
                          <a:xfrm>
                            <a:off x="0" y="0"/>
                            <a:ext cx="633730" cy="6337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世界木耳看中国</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中国木耳看东北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东北木耳看汪清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汪清县乡镇企业暨农产品加工企业协会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汪清县</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汪清县乡镇企业暨农产品加工企业协会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汪清</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1"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汪清地处长白山林区，属典型冷凉气候，昼夜温差大，黑木耳栽培历史悠久，早在1979年被国务院授予“黑木耳千担县”称号，1995年被国务院命名为“木耳之乡”，2001年成功举办“中国首届汪清黑木耳节”，2005年被中国食用菌协会评为“全国食（药）用菌优秀基地县”和“全国食(药)用菌行业优秀基地县”；2009年被评为“全国食用菌行业十大主产基地县”；2012年被评为“2012年度全国食用菌产业化建设示范区”；2014年汪清县被评为“国家级食用菌安全出口示范区”；2016年获国家农业部“农产品产地地理标志”认证；2017年被评为“国家现代农业产业园省级创建单位”、同年被国家9部委联合认定为全国首批“中国特色农产品优势区”、2018年被农业农村部评为“全国农村一二三产业融合发展先导区创建单位”，“吉林省黑木耳质量监督检验中心”设立在汪清。2019年7月成功举办了“2019中国·汪清黑木耳产业发展大会暨汪清县第二届木耳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汪清黑木耳”产自东北吉林美丽的汪清县，汪清山多林密，建县初期，木耳逢雨而生，群众经常进入山林采撷，随着大量采伐，开垦荒地，数量甚微，便开始进行家植，自上世纪70年代，开始引进木耳菌，探索新的黑木耳栽培模式。</w:t>
            </w:r>
            <w:r>
              <w:rPr>
                <w:rFonts w:hint="eastAsia" w:ascii="仿宋" w:hAnsi="仿宋" w:eastAsia="仿宋" w:cs="仿宋"/>
                <w:sz w:val="24"/>
                <w:szCs w:val="24"/>
                <w:lang w:val="en-US" w:eastAsia="zh-CN"/>
              </w:rPr>
              <w:t>2019年</w:t>
            </w:r>
            <w:r>
              <w:rPr>
                <w:rFonts w:hint="eastAsia" w:ascii="仿宋" w:hAnsi="仿宋" w:eastAsia="仿宋" w:cs="仿宋"/>
                <w:sz w:val="24"/>
                <w:szCs w:val="24"/>
                <w:lang w:eastAsia="zh-CN"/>
              </w:rPr>
              <w:t>全县黑木耳栽培总量达到6.5亿袋，产值34亿元；黑木耳专业镇达到5个、种植村达到121个，其中百万袋以上村65个；建成标准化菌包厂</w:t>
            </w:r>
            <w:r>
              <w:rPr>
                <w:rFonts w:hint="eastAsia" w:ascii="仿宋" w:hAnsi="仿宋" w:eastAsia="仿宋" w:cs="仿宋"/>
                <w:sz w:val="24"/>
                <w:szCs w:val="24"/>
                <w:lang w:val="en-US" w:eastAsia="zh-CN"/>
              </w:rPr>
              <w:t>57</w:t>
            </w:r>
            <w:r>
              <w:rPr>
                <w:rFonts w:hint="eastAsia" w:ascii="仿宋" w:hAnsi="仿宋" w:eastAsia="仿宋" w:cs="仿宋"/>
                <w:sz w:val="24"/>
                <w:szCs w:val="24"/>
                <w:lang w:eastAsia="zh-CN"/>
              </w:rPr>
              <w:t>个、定植车间</w:t>
            </w: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个、“木耳农场”</w:t>
            </w:r>
            <w:r>
              <w:rPr>
                <w:rFonts w:hint="eastAsia" w:ascii="仿宋" w:hAnsi="仿宋" w:eastAsia="仿宋" w:cs="仿宋"/>
                <w:sz w:val="24"/>
                <w:szCs w:val="24"/>
                <w:lang w:val="en-US" w:eastAsia="zh-CN"/>
              </w:rPr>
              <w:t>45</w:t>
            </w:r>
            <w:r>
              <w:rPr>
                <w:rFonts w:hint="eastAsia" w:ascii="仿宋" w:hAnsi="仿宋" w:eastAsia="仿宋" w:cs="仿宋"/>
                <w:sz w:val="24"/>
                <w:szCs w:val="24"/>
                <w:lang w:eastAsia="zh-CN"/>
              </w:rPr>
              <w:t>个，基本形成了集“菌种研发、菌包生产、基地建设、产品加工、物流配货、废弃料治理”等为一体的生态循环产业和“多镇一品、数村一业”的富民产业。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9"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1、汪清桃源小木耳实业有限公司——</w:t>
            </w:r>
            <w:r>
              <w:rPr>
                <w:rFonts w:hint="eastAsia" w:ascii="仿宋" w:hAnsi="仿宋" w:eastAsia="仿宋" w:cs="仿宋"/>
                <w:sz w:val="24"/>
                <w:szCs w:val="24"/>
                <w:lang w:eastAsia="zh-CN"/>
              </w:rPr>
              <w:t>桃沅</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2、吉冠食用菌研究所——</w:t>
            </w:r>
            <w:r>
              <w:rPr>
                <w:rFonts w:hint="eastAsia" w:ascii="仿宋" w:hAnsi="仿宋" w:eastAsia="仿宋" w:cs="仿宋"/>
                <w:sz w:val="24"/>
                <w:szCs w:val="24"/>
                <w:lang w:eastAsia="zh-CN"/>
              </w:rPr>
              <w:t>吉冠青瓦</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3、汪清县百益生物科技有限公司——汪泉黑耳品牌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4、汪清华新食品加工厂——</w:t>
            </w:r>
            <w:r>
              <w:rPr>
                <w:rFonts w:hint="eastAsia" w:ascii="仿宋" w:hAnsi="仿宋" w:eastAsia="仿宋" w:cs="仿宋"/>
                <w:sz w:val="24"/>
                <w:szCs w:val="24"/>
                <w:lang w:eastAsia="zh-CN"/>
              </w:rPr>
              <w:t>农林本色</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汪清县天桥岭新农黑木耳专业合作社</w:t>
            </w:r>
            <w:r>
              <w:rPr>
                <w:rFonts w:hint="eastAsia" w:ascii="仿宋" w:hAnsi="仿宋" w:eastAsia="仿宋" w:cs="仿宋"/>
                <w:sz w:val="24"/>
                <w:szCs w:val="24"/>
              </w:rPr>
              <w:t>——汪清天桥岭品牌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217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04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1、淘宝店铺：桃沅（桃沅品牌）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2、淘宝店铺：山间里的一汪清水(吉冠青瓦品牌)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3、淘宝店铺：农林本色长白山特产商城（农林本色品牌）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217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4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吉冠青瓦</w:t>
            </w:r>
            <w:r>
              <w:rPr>
                <w:rFonts w:hint="eastAsia" w:ascii="仿宋" w:hAnsi="仿宋" w:eastAsia="仿宋" w:cs="仿宋"/>
                <w:sz w:val="24"/>
                <w:szCs w:val="24"/>
              </w:rPr>
              <w:t>品牌：</w:t>
            </w:r>
            <w:r>
              <w:rPr>
                <w:rFonts w:hint="eastAsia" w:ascii="仿宋" w:hAnsi="仿宋" w:eastAsia="仿宋" w:cs="仿宋"/>
                <w:sz w:val="24"/>
                <w:szCs w:val="24"/>
                <w:lang w:eastAsia="zh-CN"/>
              </w:rPr>
              <w:t>吉林省</w:t>
            </w:r>
            <w:r>
              <w:rPr>
                <w:rFonts w:hint="eastAsia" w:ascii="仿宋" w:hAnsi="仿宋" w:eastAsia="仿宋" w:cs="仿宋"/>
                <w:sz w:val="24"/>
                <w:szCs w:val="24"/>
                <w:lang w:val="en-US" w:eastAsia="zh-CN"/>
              </w:rPr>
              <w:t>长春市欧亚超市；长春市龙嘉机场品牌形象店展柜；希派创意城(吉林省省级直播电商中心）（15981300022）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桃沅</w:t>
            </w:r>
            <w:r>
              <w:rPr>
                <w:rFonts w:hint="eastAsia" w:ascii="仿宋" w:hAnsi="仿宋" w:eastAsia="仿宋" w:cs="仿宋"/>
                <w:sz w:val="24"/>
                <w:szCs w:val="24"/>
              </w:rPr>
              <w:t>品牌：汪清桃源小木耳实业有限公司</w:t>
            </w:r>
            <w:r>
              <w:rPr>
                <w:rFonts w:hint="eastAsia" w:ascii="仿宋" w:hAnsi="仿宋" w:eastAsia="仿宋" w:cs="仿宋"/>
                <w:sz w:val="24"/>
                <w:szCs w:val="24"/>
                <w:lang w:eastAsia="zh-CN"/>
              </w:rPr>
              <w:t>：吉林省汪清县天桥岭镇天河村</w:t>
            </w:r>
            <w:r>
              <w:rPr>
                <w:rFonts w:hint="eastAsia" w:ascii="仿宋" w:hAnsi="仿宋" w:eastAsia="仿宋" w:cs="仿宋"/>
                <w:sz w:val="24"/>
                <w:szCs w:val="24"/>
              </w:rPr>
              <w:t>（</w:t>
            </w:r>
            <w:r>
              <w:rPr>
                <w:rFonts w:hint="eastAsia" w:ascii="仿宋" w:hAnsi="仿宋" w:eastAsia="仿宋" w:cs="仿宋"/>
                <w:sz w:val="24"/>
                <w:szCs w:val="24"/>
                <w:lang w:val="en-US" w:eastAsia="zh-CN"/>
              </w:rPr>
              <w:t>13278231118</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3、汪泉黑耳品牌：汪清县百益生物科技有限公司：</w:t>
            </w:r>
            <w:r>
              <w:rPr>
                <w:rFonts w:hint="eastAsia" w:ascii="仿宋" w:hAnsi="仿宋" w:eastAsia="仿宋" w:cs="仿宋"/>
                <w:sz w:val="24"/>
                <w:szCs w:val="24"/>
                <w:lang w:eastAsia="zh-CN"/>
              </w:rPr>
              <w:t>吉林省汪清县天桥岭镇</w:t>
            </w:r>
            <w:r>
              <w:rPr>
                <w:rFonts w:hint="eastAsia" w:ascii="仿宋" w:hAnsi="仿宋" w:eastAsia="仿宋" w:cs="仿宋"/>
                <w:sz w:val="24"/>
                <w:szCs w:val="24"/>
              </w:rPr>
              <w:t>（</w:t>
            </w:r>
            <w:r>
              <w:rPr>
                <w:rFonts w:hint="eastAsia" w:ascii="仿宋" w:hAnsi="仿宋" w:eastAsia="仿宋" w:cs="仿宋"/>
                <w:sz w:val="24"/>
                <w:szCs w:val="24"/>
                <w:lang w:val="en-US" w:eastAsia="zh-CN"/>
              </w:rPr>
              <w:t>13654330667</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4、汪清 天桥岭品牌：</w:t>
            </w:r>
            <w:r>
              <w:rPr>
                <w:rFonts w:hint="eastAsia" w:ascii="仿宋" w:hAnsi="仿宋" w:eastAsia="仿宋" w:cs="仿宋"/>
                <w:sz w:val="24"/>
                <w:szCs w:val="24"/>
                <w:lang w:eastAsia="zh-CN"/>
              </w:rPr>
              <w:t>汪清县天桥岭新农黑木耳专业合作社</w:t>
            </w:r>
            <w:r>
              <w:rPr>
                <w:rFonts w:hint="eastAsia" w:ascii="仿宋" w:hAnsi="仿宋" w:eastAsia="仿宋" w:cs="仿宋"/>
                <w:sz w:val="24"/>
                <w:szCs w:val="24"/>
              </w:rPr>
              <w:t>：</w:t>
            </w:r>
            <w:r>
              <w:rPr>
                <w:rFonts w:hint="eastAsia" w:ascii="仿宋" w:hAnsi="仿宋" w:eastAsia="仿宋" w:cs="仿宋"/>
                <w:sz w:val="24"/>
                <w:szCs w:val="24"/>
                <w:lang w:eastAsia="zh-CN"/>
              </w:rPr>
              <w:t>吉林省汪清县天桥岭镇</w:t>
            </w:r>
            <w:r>
              <w:rPr>
                <w:rFonts w:hint="eastAsia" w:ascii="仿宋" w:hAnsi="仿宋" w:eastAsia="仿宋" w:cs="仿宋"/>
                <w:sz w:val="24"/>
                <w:szCs w:val="24"/>
              </w:rPr>
              <w:t>（15104339797）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农林本色</w:t>
            </w:r>
            <w:r>
              <w:rPr>
                <w:rFonts w:hint="eastAsia" w:ascii="仿宋" w:hAnsi="仿宋" w:eastAsia="仿宋" w:cs="仿宋"/>
                <w:sz w:val="24"/>
                <w:szCs w:val="24"/>
              </w:rPr>
              <w:t>品牌：汪清华新食品加工厂：</w:t>
            </w:r>
            <w:r>
              <w:rPr>
                <w:rFonts w:hint="eastAsia" w:ascii="仿宋" w:hAnsi="仿宋" w:eastAsia="仿宋" w:cs="仿宋"/>
                <w:sz w:val="24"/>
                <w:szCs w:val="24"/>
                <w:lang w:eastAsia="zh-CN"/>
              </w:rPr>
              <w:t>吉林省汪清县天桥岭镇东新村</w:t>
            </w:r>
            <w:r>
              <w:rPr>
                <w:rFonts w:hint="eastAsia" w:ascii="仿宋" w:hAnsi="仿宋" w:eastAsia="仿宋" w:cs="仿宋"/>
                <w:sz w:val="24"/>
                <w:szCs w:val="24"/>
              </w:rPr>
              <w:t>（</w:t>
            </w:r>
            <w:r>
              <w:rPr>
                <w:rFonts w:hint="eastAsia" w:ascii="仿宋" w:hAnsi="仿宋" w:eastAsia="仿宋" w:cs="仿宋"/>
                <w:sz w:val="24"/>
                <w:szCs w:val="24"/>
                <w:lang w:val="en-US" w:eastAsia="zh-CN"/>
              </w:rPr>
              <w:t>0433-2360285</w:t>
            </w:r>
            <w:r>
              <w:rPr>
                <w:rFonts w:hint="eastAsia" w:ascii="仿宋" w:hAnsi="仿宋" w:eastAsia="仿宋" w:cs="仿宋"/>
                <w:sz w:val="24"/>
                <w:szCs w:val="24"/>
              </w:rPr>
              <w:t>）</w:t>
            </w:r>
          </w:p>
        </w:tc>
      </w:tr>
    </w:tbl>
    <w:p>
      <w:pPr>
        <w:pStyle w:val="3"/>
        <w:bidi w:val="0"/>
        <w:jc w:val="center"/>
        <w:rPr>
          <w:rFonts w:hint="default"/>
        </w:rPr>
      </w:pPr>
      <w:bookmarkStart w:id="16" w:name="_Toc17560"/>
      <w:r>
        <w:rPr>
          <w:rFonts w:hint="eastAsia"/>
          <w:lang w:val="en-US" w:eastAsia="zh-CN"/>
        </w:rPr>
        <w:t>抚松人参</w:t>
      </w:r>
      <w:bookmarkEnd w:id="16"/>
    </w:p>
    <w:p>
      <w:pPr>
        <w:widowControl/>
        <w:adjustRightInd w:val="0"/>
        <w:snapToGrid w:val="0"/>
        <w:spacing w:line="360" w:lineRule="auto"/>
        <w:ind w:firstLine="0" w:firstLineChars="0"/>
        <w:jc w:val="center"/>
        <w:textAlignment w:val="center"/>
        <w:rPr>
          <w:rFonts w:ascii="宋体" w:hAnsi="宋体" w:eastAsia="宋体" w:cs="黑体"/>
          <w:b/>
          <w:bCs/>
          <w:sz w:val="28"/>
        </w:rPr>
      </w:pPr>
      <w:r>
        <w:rPr>
          <w:rFonts w:ascii="宋体" w:hAnsi="宋体" w:eastAsia="宋体" w:cs="黑体"/>
          <w:b/>
          <w:bCs/>
          <w:sz w:val="28"/>
        </w:rPr>
        <w:drawing>
          <wp:inline distT="0" distB="0" distL="114300" distR="114300">
            <wp:extent cx="5069205" cy="7158990"/>
            <wp:effectExtent l="0" t="0" r="17145" b="3810"/>
            <wp:docPr id="423" name="图片 220" descr="抚松人参彩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20" descr="抚松人参彩页"/>
                    <pic:cNvPicPr>
                      <a:picLocks noChangeAspect="1"/>
                    </pic:cNvPicPr>
                  </pic:nvPicPr>
                  <pic:blipFill>
                    <a:blip r:embed="rId18"/>
                    <a:stretch>
                      <a:fillRect/>
                    </a:stretch>
                  </pic:blipFill>
                  <pic:spPr>
                    <a:xfrm>
                      <a:off x="0" y="0"/>
                      <a:ext cx="5069205" cy="7158990"/>
                    </a:xfrm>
                    <a:prstGeom prst="rect">
                      <a:avLst/>
                    </a:prstGeom>
                    <a:noFill/>
                    <a:ln w="9525">
                      <a:noFill/>
                    </a:ln>
                  </pic:spPr>
                </pic:pic>
              </a:graphicData>
            </a:graphic>
          </wp:inline>
        </w:drawing>
      </w:r>
    </w:p>
    <w:p>
      <w:pPr>
        <w:widowControl/>
        <w:adjustRightInd w:val="0"/>
        <w:snapToGrid w:val="0"/>
        <w:spacing w:line="360" w:lineRule="auto"/>
        <w:ind w:firstLine="0" w:firstLineChars="0"/>
        <w:textAlignment w:val="center"/>
        <w:rPr>
          <w:rFonts w:ascii="宋体" w:hAnsi="宋体" w:eastAsia="宋体" w:cs="黑体"/>
          <w:b/>
          <w:bCs/>
          <w:sz w:val="28"/>
        </w:rPr>
      </w:pPr>
    </w:p>
    <w:p>
      <w:pPr>
        <w:adjustRightInd w:val="0"/>
        <w:snapToGrid w:val="0"/>
        <w:spacing w:line="360" w:lineRule="auto"/>
        <w:ind w:firstLine="422"/>
        <w:rPr>
          <w:rFonts w:ascii="宋体" w:hAnsi="宋体" w:cs="宋体"/>
          <w:b/>
          <w:szCs w:val="21"/>
        </w:rPr>
      </w:pPr>
    </w:p>
    <w:tbl>
      <w:tblPr>
        <w:tblStyle w:val="13"/>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980"/>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吉林省白山市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抚松县</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抚松人参</w:t>
            </w:r>
          </w:p>
        </w:tc>
        <w:tc>
          <w:tcPr>
            <w:tcW w:w="44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61390" cy="701675"/>
                  <wp:effectExtent l="0" t="0" r="10160" b="3175"/>
                  <wp:docPr id="424" name="图片 221"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21" descr="地理标志证明商标"/>
                          <pic:cNvPicPr>
                            <a:picLocks noChangeAspect="1"/>
                          </pic:cNvPicPr>
                        </pic:nvPicPr>
                        <pic:blipFill>
                          <a:blip r:embed="rId15"/>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3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抚松人参源自长白山核心产区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3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抚松县人参产业发展中心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3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3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抚松县人参协会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吉林省白山市抚松县，东经127°01＇－128°05＇，北纬41°42＇－42°49＇，辖14个乡镇</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“抚松人参”是2010年在国家工商商标总局注册的地理标志证明商标，批号是：7694369。抚松人参”连续入选全国农产品名优特新目录。入选2017中国特色农产品优势区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荣获</w:t>
            </w:r>
            <w:r>
              <w:rPr>
                <w:rFonts w:hint="eastAsia" w:ascii="仿宋" w:hAnsi="仿宋" w:eastAsia="仿宋" w:cs="仿宋"/>
                <w:sz w:val="24"/>
                <w:szCs w:val="24"/>
              </w:rPr>
              <w:t>“神农杯2018年度影响力农产品区域公用品牌”</w:t>
            </w:r>
            <w:r>
              <w:rPr>
                <w:rFonts w:hint="eastAsia" w:ascii="仿宋" w:hAnsi="仿宋" w:eastAsia="仿宋" w:cs="仿宋"/>
                <w:sz w:val="24"/>
                <w:szCs w:val="24"/>
                <w:lang w:val="en-US" w:eastAsia="zh-CN"/>
              </w:rPr>
              <w:t>奖项</w:t>
            </w:r>
            <w:r>
              <w:rPr>
                <w:rFonts w:hint="eastAsia" w:ascii="仿宋" w:hAnsi="仿宋" w:eastAsia="仿宋" w:cs="仿宋"/>
                <w:sz w:val="24"/>
                <w:szCs w:val="24"/>
              </w:rPr>
              <w:t>。2019品牌农业影响力年度盛典，“抚松人参”品牌被推选为影响力农产品区域公用品牌，品牌估值206.32亿元。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抚松县有 1500 年的野山参采挖和 450 年的人参栽培历史，1987 年“抚松红参”荣获布鲁塞尔“尤里卡”博览会金奖。长白山人参是吉林长白山地区所独有的自然资源，“世界人参在中国，中国人参在吉林，吉林人参在抚松”，抚松县是国家命名的“中国人参之乡”，每年的鲜参交易量占国内的85%，占世界的 70%，依托国家级长白山（万良）人参市场，经销200 余种人参类产品，畅销全国，远销港澳台、新加坡、日本、韩国等 30 多个国家和地区，每年鲜参交易旺季市场交易人数高达 500 余万人次。举办第33届中国·抚松长白山人参节开幕式暨首届中医药文化传承与产业发展高峰论坛。设立抚松中国人参博物馆位，参加</w:t>
            </w:r>
            <w:r>
              <w:rPr>
                <w:rFonts w:hint="eastAsia" w:ascii="仿宋" w:hAnsi="仿宋" w:eastAsia="仿宋" w:cs="仿宋"/>
                <w:sz w:val="24"/>
                <w:szCs w:val="24"/>
                <w:lang w:val="en-US" w:eastAsia="zh-CN"/>
              </w:rPr>
              <w:t>中国国际农产品交易会等相关</w:t>
            </w:r>
            <w:r>
              <w:rPr>
                <w:rFonts w:hint="eastAsia" w:ascii="仿宋" w:hAnsi="仿宋" w:eastAsia="仿宋" w:cs="仿宋"/>
                <w:sz w:val="24"/>
                <w:szCs w:val="24"/>
              </w:rPr>
              <w:t>产品推广及展销活动。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206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1、抚松大自然生物工程有限公司——安普品牌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2、吉林华润和善堂人参有限公司——999品牌、和善堂品牌、三九品牌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吉林长白明珠森林食品有限公司——长白明珠品牌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吉林肽谷生物工程有限责任公司——TGRENSHENTAI品牌、源参品牌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5、抚松县兴隆酿酒有限责任公司——天池良源品牌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20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1、京东店铺：安普官方旗舰店（安普品牌）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2、淘宝店铺：长白山特产供应链（999品牌、和善堂品牌、三九品牌）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3、京东店铺：长白明珠官方旗舰店（长白明珠品牌）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4、天猫店铺：源参旗舰店（TGRENSHENTAI品牌、源参品牌）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5" w:hRule="atLeast"/>
          <w:jc w:val="center"/>
        </w:trPr>
        <w:tc>
          <w:tcPr>
            <w:tcW w:w="20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39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安普品牌：济南门店：山东省济南市青年西路54号，百济抗肿瘤药大药房（18143193555）；沈阳门店：辽宁省沈阳市大东堂子街6-1号313（18643942112）；吉林门店：吉林省白山市抚松县育才街58号大自然神草堂（400-006-1203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2、99品牌、和善堂品牌、三九品牌：东裕店：宁波四明大药房（13967835422）；松鹤大药房先为康店：合肥市肥西县明珠大道与翠竹路交叉口西南150米（0551-65884656）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3、TGRENSHENTAI品牌、源参品牌：人参肽百姓健康店:哈尔滨市南岗区汉兴街26号 （0451-51093573）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4、天池良源品牌：厂部直营店：吉林省抚松县兴隆乡 （0439-6570196）；天池良源：兴隆旅游服务区品鉴店：吉林省抚松县兴隆乡（0439-6570196)</w:t>
            </w:r>
          </w:p>
        </w:tc>
      </w:tr>
    </w:tbl>
    <w:p>
      <w:pPr>
        <w:rPr>
          <w:rFonts w:hint="eastAsia"/>
          <w:lang w:val="en-US" w:eastAsia="zh-CN"/>
        </w:rPr>
      </w:pPr>
    </w:p>
    <w:p>
      <w:pPr>
        <w:pStyle w:val="3"/>
        <w:bidi w:val="0"/>
        <w:jc w:val="center"/>
        <w:rPr>
          <w:rFonts w:hint="eastAsia"/>
          <w:lang w:val="en-US" w:eastAsia="zh-CN"/>
        </w:rPr>
      </w:pPr>
      <w:bookmarkStart w:id="17" w:name="_Toc10432"/>
      <w:r>
        <w:rPr>
          <w:rFonts w:hint="eastAsia"/>
          <w:lang w:val="en-US" w:eastAsia="zh-CN"/>
        </w:rPr>
        <w:t>梅河大米</w:t>
      </w:r>
      <w:bookmarkEnd w:id="17"/>
    </w:p>
    <w:tbl>
      <w:tblPr>
        <w:tblStyle w:val="13"/>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904"/>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rPr>
              <w:t>吉林省</w:t>
            </w:r>
            <w:r>
              <w:rPr>
                <w:rFonts w:hint="eastAsia" w:ascii="仿宋" w:hAnsi="仿宋" w:eastAsia="仿宋" w:cs="仿宋"/>
                <w:b w:val="0"/>
                <w:bCs w:val="0"/>
                <w:sz w:val="24"/>
                <w:szCs w:val="24"/>
                <w:lang w:val="en-US" w:eastAsia="zh-CN"/>
              </w:rPr>
              <w:t>梅河口市</w:t>
            </w:r>
          </w:p>
        </w:tc>
        <w:tc>
          <w:tcPr>
            <w:tcW w:w="1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梅河大米</w:t>
            </w:r>
          </w:p>
        </w:tc>
        <w:tc>
          <w:tcPr>
            <w:tcW w:w="42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854075" cy="686435"/>
                  <wp:effectExtent l="0" t="0" r="3175" b="18415"/>
                  <wp:docPr id="18" name="图片 18"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mg1"/>
                          <pic:cNvPicPr>
                            <a:picLocks noChangeAspect="1"/>
                          </pic:cNvPicPr>
                        </pic:nvPicPr>
                        <pic:blipFill>
                          <a:blip r:embed="rId13"/>
                          <a:stretch>
                            <a:fillRect/>
                          </a:stretch>
                        </pic:blipFill>
                        <pic:spPr>
                          <a:xfrm>
                            <a:off x="0" y="0"/>
                            <a:ext cx="854075" cy="686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梅河大米协会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梅河口市农业农村局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梅河口市</w:t>
            </w:r>
            <w:r>
              <w:rPr>
                <w:rFonts w:hint="eastAsia" w:ascii="仿宋" w:hAnsi="仿宋" w:eastAsia="仿宋" w:cs="仿宋"/>
                <w:sz w:val="24"/>
                <w:szCs w:val="24"/>
                <w:lang w:eastAsia="zh-CN"/>
              </w:rPr>
              <w:t>，</w:t>
            </w:r>
            <w:r>
              <w:rPr>
                <w:rFonts w:hint="eastAsia" w:ascii="仿宋" w:hAnsi="仿宋" w:eastAsia="仿宋" w:cs="仿宋"/>
                <w:sz w:val="24"/>
                <w:szCs w:val="24"/>
              </w:rPr>
              <w:t>北纬42°08′至43°02′、东经125°15′至126°03′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4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梅河大米”在获得“国家地理标志产品保护”和注册“梅河口大米”集体商标的基础上，“梅河”牌大米被授予“中国自主品牌”、“2017百强农产品区域公用品牌”称号；“帅猫”牌梅河大米、“富霞”牌梅河大米被评为中国驰名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4" w:hRule="atLeast"/>
          <w:jc w:val="center"/>
        </w:trPr>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4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梅河口市地处北纬42°08′至43°02′、东经125°15′至126°03′，恰置白金水稻带的中央，属北温带大陆性季风气候区，全年日照时数2556h，5～9月份作物生长季节日照时数1159h，无霜期137d～145d，年平均气温5.4℃，全年≥10℃有效积温2920.5℃，5～9月份作物生长季节日积温2946.5℃，年平均降水量708mm，5～9月份降水量550.1mm。7～8月份高温多雨，四季分明，雨热同季，降水适中，昼夜温差大，雨热同季，非常适于农作物生长。土壤类型以草甸型白浆土为主，草炭土和河淤土为补，pH值偏酸性，后经多年开垦而成为水稻土；土壤有机质含量2.28%～4.42%，日渗透量3.8mm～6.8mm,质地疏松，通透性良好，有利于水稻根系的发育</w:t>
            </w:r>
            <w:r>
              <w:rPr>
                <w:rFonts w:hint="eastAsia" w:ascii="仿宋" w:hAnsi="仿宋" w:eastAsia="仿宋" w:cs="仿宋"/>
                <w:sz w:val="24"/>
                <w:szCs w:val="24"/>
                <w:lang w:eastAsia="zh-CN"/>
              </w:rPr>
              <w:t>。</w:t>
            </w:r>
            <w:r>
              <w:rPr>
                <w:rFonts w:hint="eastAsia" w:ascii="仿宋" w:hAnsi="仿宋" w:eastAsia="仿宋" w:cs="仿宋"/>
                <w:sz w:val="24"/>
                <w:szCs w:val="24"/>
              </w:rPr>
              <w:t>全氮含量0.12%～0.22%，全磷含量0.07%～0.20%，全钾含量1.4%～2.5%，土地肥沃后劲足，水稻生长平稳，秋后不早衰，能够长成秋优型水稻。水稻生长必需的三要素，速效氮、磷、钾含量分别在104mg/kg～304mg/kg,11mg/kg～48mg/kg和76mg/kg～186mg/kg间，还含有作物生长必需的矿物质元素铜、铁、锰、钙、镁、锌、硅等，保证了水稻生长的各种养分需求。梅河口市境内河流纵横，全市地表水和地下水丰富。全市工业企业主要集中在城区，水稻主产区不存在工业“三废”污染，大气、水、土壤环境质量较高，承担灌溉任务的磨盘湖水库，在长白山脉龙岗山系的群山环抱之中，湖水清澈，烟波浩渺，水质经国家水质部门监测，挥发酚、氰化物、砷、汞、六价铬、铅、镉均未检出，符合国家二级饮用水标准。农业生产环境经中国科学院长春地理研究所环境研究与评价中心检测评定，“属于AA级绿色食品的农业环境质量”。梅河水稻种植历史悠久，发展到目前已有120多年的历史，是国家绿色食品水稻原料标准化示范基地和全国绿优水稻标准化示范市，全市现发展水稻绿优米面积45万亩，正常年景年产水稻25万吨以上，生产大米17万吨左右，每年大米外销商品量占大米产量的一半以上。为打造梅河大米品牌，提高竞争力，“十三五”以来，加大技术指导服务力度，积极引进增产增效新品种、新技术，在做优、做精、做大、做强上下功夫，重点向绿色、优质、高效上发展。</w:t>
            </w:r>
          </w:p>
        </w:tc>
      </w:tr>
    </w:tbl>
    <w:p>
      <w:pPr>
        <w:pStyle w:val="3"/>
        <w:bidi w:val="0"/>
        <w:jc w:val="both"/>
        <w:rPr>
          <w:rFonts w:hint="eastAsia"/>
          <w:lang w:val="en-US" w:eastAsia="zh-CN"/>
        </w:rPr>
      </w:pPr>
    </w:p>
    <w:p>
      <w:pPr>
        <w:rPr>
          <w:rFonts w:hint="eastAsia"/>
          <w:lang w:val="en-US" w:eastAsia="zh-CN"/>
        </w:rPr>
      </w:pPr>
    </w:p>
    <w:p>
      <w:pPr>
        <w:pStyle w:val="2"/>
        <w:rPr>
          <w:rFonts w:hint="eastAsia"/>
          <w:lang w:val="en-US" w:eastAsia="zh-CN"/>
        </w:rPr>
      </w:pPr>
    </w:p>
    <w:p>
      <w:pPr>
        <w:pStyle w:val="3"/>
        <w:bidi w:val="0"/>
        <w:jc w:val="center"/>
        <w:rPr>
          <w:rFonts w:hint="eastAsia"/>
          <w:lang w:val="en-US" w:eastAsia="zh-CN"/>
        </w:rPr>
      </w:pPr>
      <w:bookmarkStart w:id="18" w:name="_Toc25455"/>
      <w:r>
        <w:rPr>
          <w:rFonts w:hint="eastAsia"/>
          <w:lang w:val="en-US" w:eastAsia="zh-CN"/>
        </w:rPr>
        <w:t>舒兰大米</w:t>
      </w:r>
      <w:bookmarkEnd w:id="18"/>
    </w:p>
    <w:tbl>
      <w:tblPr>
        <w:tblStyle w:val="13"/>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1927"/>
        <w:gridCol w:w="4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吉林省舒兰市</w:t>
            </w:r>
          </w:p>
        </w:tc>
        <w:tc>
          <w:tcPr>
            <w:tcW w:w="19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舒兰大米</w:t>
            </w:r>
          </w:p>
        </w:tc>
        <w:tc>
          <w:tcPr>
            <w:tcW w:w="42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80085" cy="669290"/>
                  <wp:effectExtent l="0" t="0" r="5715" b="16510"/>
                  <wp:docPr id="15" name="图片 15" descr="农产品地理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农产品地理标志图片"/>
                          <pic:cNvPicPr>
                            <a:picLocks noChangeAspect="1"/>
                          </pic:cNvPicPr>
                        </pic:nvPicPr>
                        <pic:blipFill>
                          <a:blip r:embed="rId19"/>
                          <a:stretch>
                            <a:fillRect/>
                          </a:stretch>
                        </pic:blipFill>
                        <pic:spPr>
                          <a:xfrm>
                            <a:off x="0" y="0"/>
                            <a:ext cx="680085" cy="669290"/>
                          </a:xfrm>
                          <a:prstGeom prst="rect">
                            <a:avLst/>
                          </a:prstGeom>
                        </pic:spPr>
                      </pic:pic>
                    </a:graphicData>
                  </a:graphic>
                </wp:inline>
              </w:drawing>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drawing>
                <wp:inline distT="0" distB="0" distL="114300" distR="114300">
                  <wp:extent cx="942340" cy="631825"/>
                  <wp:effectExtent l="0" t="0" r="10160" b="15875"/>
                  <wp:docPr id="27" name="图片 27" descr="证明商标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证明商标标志图片"/>
                          <pic:cNvPicPr>
                            <a:picLocks noChangeAspect="1"/>
                          </pic:cNvPicPr>
                        </pic:nvPicPr>
                        <pic:blipFill>
                          <a:blip r:embed="rId20"/>
                          <a:stretch>
                            <a:fillRect/>
                          </a:stretch>
                        </pic:blipFill>
                        <pic:spPr>
                          <a:xfrm>
                            <a:off x="0" y="0"/>
                            <a:ext cx="942340" cy="63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稻花飘香 舒兰大米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2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舒兰市大米协会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舒兰市农业农村局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舒兰市大米协会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2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北纬43°38′至44°51′，东经126°24′至127°45′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22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省舒兰市位于吉林省东北部，地处长白山余脉张广财岭向松嫩平原过渡地带，南部是风景秀丽的雾凇之都吉林市，北连哈尔滨的五常市，西隔松花江与长春相望，幅员4500平方公里，人口67万。舒兰市耕地面积210万亩，粮食产量常年稳定在24亿斤水平，是国家产粮大县，全国重点商品粮生产基地和绿色水稻生产基地。</w:t>
            </w:r>
          </w:p>
        </w:tc>
      </w:tr>
    </w:tbl>
    <w:p>
      <w:pPr>
        <w:rPr>
          <w:rFonts w:hint="eastAsia"/>
          <w:lang w:val="en-US" w:eastAsia="zh-CN"/>
        </w:rPr>
      </w:pPr>
    </w:p>
    <w:p>
      <w:pPr>
        <w:pStyle w:val="3"/>
        <w:bidi w:val="0"/>
        <w:jc w:val="center"/>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3"/>
        <w:bidi w:val="0"/>
        <w:jc w:val="center"/>
        <w:rPr>
          <w:rFonts w:hint="eastAsia"/>
          <w:lang w:val="en-US" w:eastAsia="zh-CN"/>
        </w:rPr>
      </w:pPr>
      <w:bookmarkStart w:id="19" w:name="_Toc24349"/>
      <w:r>
        <w:rPr>
          <w:rFonts w:hint="eastAsia"/>
          <w:lang w:val="en-US" w:eastAsia="zh-CN"/>
        </w:rPr>
        <w:t>桦甸黄牛</w:t>
      </w:r>
      <w:bookmarkEnd w:id="19"/>
    </w:p>
    <w:tbl>
      <w:tblPr>
        <w:tblStyle w:val="13"/>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897"/>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吉林省桦甸市</w:t>
            </w:r>
          </w:p>
        </w:tc>
        <w:tc>
          <w:tcPr>
            <w:tcW w:w="18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桦甸黄牛</w:t>
            </w:r>
          </w:p>
        </w:tc>
        <w:tc>
          <w:tcPr>
            <w:tcW w:w="42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80085" cy="669290"/>
                  <wp:effectExtent l="0" t="0" r="5715" b="16510"/>
                  <wp:docPr id="26" name="图片 26" descr="农产品地理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农产品地理标志图片"/>
                          <pic:cNvPicPr>
                            <a:picLocks noChangeAspect="1"/>
                          </pic:cNvPicPr>
                        </pic:nvPicPr>
                        <pic:blipFill>
                          <a:blip r:embed="rId19"/>
                          <a:stretch>
                            <a:fillRect/>
                          </a:stretch>
                        </pic:blipFill>
                        <pic:spPr>
                          <a:xfrm>
                            <a:off x="0" y="0"/>
                            <a:ext cx="680085" cy="669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3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桦牛肉品，来自森林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3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桦甸市农业农村局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3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东：黄泥岭</w:t>
            </w:r>
            <w:r>
              <w:rPr>
                <w:rFonts w:hint="eastAsia" w:ascii="仿宋" w:hAnsi="仿宋" w:eastAsia="仿宋" w:cs="仿宋"/>
                <w:sz w:val="24"/>
                <w:szCs w:val="24"/>
                <w:lang w:eastAsia="zh-CN"/>
              </w:rPr>
              <w:t>；</w:t>
            </w:r>
            <w:r>
              <w:rPr>
                <w:rFonts w:hint="eastAsia" w:ascii="仿宋" w:hAnsi="仿宋" w:eastAsia="仿宋" w:cs="仿宋"/>
                <w:sz w:val="24"/>
                <w:szCs w:val="24"/>
              </w:rPr>
              <w:t>西：磐桦交界</w:t>
            </w:r>
            <w:r>
              <w:rPr>
                <w:rFonts w:hint="eastAsia" w:ascii="仿宋" w:hAnsi="仿宋" w:eastAsia="仿宋" w:cs="仿宋"/>
                <w:sz w:val="24"/>
                <w:szCs w:val="24"/>
                <w:lang w:eastAsia="zh-CN"/>
              </w:rPr>
              <w:t>；</w:t>
            </w:r>
            <w:r>
              <w:rPr>
                <w:rFonts w:hint="eastAsia" w:ascii="仿宋" w:hAnsi="仿宋" w:eastAsia="仿宋" w:cs="仿宋"/>
                <w:sz w:val="24"/>
                <w:szCs w:val="24"/>
              </w:rPr>
              <w:t>南：龙岗山</w:t>
            </w:r>
            <w:r>
              <w:rPr>
                <w:rFonts w:hint="eastAsia" w:ascii="仿宋" w:hAnsi="仿宋" w:eastAsia="仿宋" w:cs="仿宋"/>
                <w:sz w:val="24"/>
                <w:szCs w:val="24"/>
                <w:lang w:eastAsia="zh-CN"/>
              </w:rPr>
              <w:t>；</w:t>
            </w:r>
            <w:r>
              <w:rPr>
                <w:rFonts w:hint="eastAsia" w:ascii="仿宋" w:hAnsi="仿宋" w:eastAsia="仿宋" w:cs="仿宋"/>
                <w:sz w:val="24"/>
                <w:szCs w:val="24"/>
              </w:rPr>
              <w:t>北：哈达岭</w:t>
            </w:r>
            <w:r>
              <w:rPr>
                <w:rFonts w:hint="eastAsia" w:ascii="仿宋" w:hAnsi="仿宋" w:eastAsia="仿宋" w:cs="仿宋"/>
                <w:sz w:val="24"/>
                <w:szCs w:val="24"/>
                <w:lang w:eastAsia="zh-CN"/>
              </w:rPr>
              <w:t>。</w:t>
            </w:r>
            <w:bookmarkStart w:id="22" w:name="_GoBack"/>
            <w:bookmarkEnd w:id="22"/>
            <w:r>
              <w:rPr>
                <w:rFonts w:hint="eastAsia" w:ascii="仿宋" w:hAnsi="仿宋" w:eastAsia="仿宋" w:cs="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0" w:hRule="atLeast"/>
          <w:jc w:val="center"/>
        </w:trPr>
        <w:tc>
          <w:tcPr>
            <w:tcW w:w="1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3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省桦甸市位于吉林省东南部，地处龙岗山脉北侧，第二松花江上游。属于北温带大陆性季风气候区，一年四季明显。春季干燥多风，夏季炎热多雨，秋季秋高气爽，冬季严寒漫长。这里气候温和，光照充足，四季分明，降水充沛，属天然的生态氧吧，适宜于发展高山林下养殖黄牛。 桦甸 黄牛对自然生态条件有很强的适应性，耐粗饲，放牧性能好。桦甸的黄牛在全省全国具备优势，无论是量的优势还是质的优势，桦甸黄牛历史以来品质都是最好的，有多年出口的历史。因其产肉性能良好，平均净肉率高，饲养周期短，价格公道，长期以来一直是餐桌上的美食。桦甸黄牛，牛皮可剥三层，别的只能剥两层。林下放牧，吃中草药，喝山泉水，牛肉具备天然大理石花纹。近年来吉林打造区域公共品牌，桦甸市二道甸子黄牛被评为吉林市区域公用品牌，授权使用品牌的合作社桦甸市二道甸子镇桦牛黄牛养殖专业合作社，成立于2009年2月，合作社发展农户117户，黄牛存栏15000余头，年销售优质黄牛8000余头，区域养殖量达到10万头。有专业畜牧医师3人，带动周边农户1580户，户均增收5万元。合作社有天然林下牧场1575公顷，厂区占地38500平米，桦甸黄牛饲养得益于长白山余脉的林下放牧环境“饮泉水，食山草”达到无公害标准、绿色标准的高品质黄牛，在2011年被国家农业部评为肉牛标准化示范场，2011年被吉林市牧业领导小组评为十佳畜牧合作经济组织</w:t>
            </w:r>
            <w:r>
              <w:rPr>
                <w:rFonts w:hint="eastAsia" w:ascii="仿宋" w:hAnsi="仿宋" w:eastAsia="仿宋" w:cs="仿宋"/>
                <w:sz w:val="24"/>
                <w:szCs w:val="24"/>
                <w:lang w:eastAsia="zh-CN"/>
              </w:rPr>
              <w:t>。</w:t>
            </w:r>
            <w:r>
              <w:rPr>
                <w:rFonts w:hint="eastAsia" w:ascii="仿宋" w:hAnsi="仿宋" w:eastAsia="仿宋" w:cs="仿宋"/>
                <w:sz w:val="24"/>
                <w:szCs w:val="24"/>
              </w:rPr>
              <w:t>授权使用品牌的加工核心企业桦甸市金牛牧业有限公司是一家全产业链省龙头企业，通过校企合作达到科技养牛，采用本地农户散养的本地黄牛为种牛，与西门达尔、安格斯杂交，其特点是体型大，增重快，成熟早，肉质好，一般养殖周期在10到12个月。在相同的饲养管理条件下，本地牛的增重、饲料转化效率和产肉性能都有不错的表现。青山就是金山银山，依托优势的地理环境，全市区域黄牛养殖量已达10万头。核心企业桦甸金牛牧业，全程可追溯、排酸、精品分割、销售，全程冷链配送都已实现，一二三产融合已经凸现，以核心企业为龙头，一是带动合作社农民发展养殖业，基地完全实现了生物安全小区。二是核心企业已经达到全程可追溯体系。三是屠宰加工分割，精准分部位分割，逐渐实现深加工。四是与北京、上海沈大成、杭州等著名餐饮集团合作，与吉林市140多家学校、180多家企事业机关食堂、西餐厅、火锅、鲜肉坊等形成了商业合作。</w:t>
            </w:r>
          </w:p>
        </w:tc>
      </w:tr>
    </w:tbl>
    <w:p>
      <w:pPr>
        <w:pStyle w:val="3"/>
        <w:bidi w:val="0"/>
        <w:jc w:val="both"/>
        <w:rPr>
          <w:rFonts w:hint="eastAsia"/>
          <w:lang w:val="en-US" w:eastAsia="zh-CN"/>
        </w:rPr>
      </w:pPr>
    </w:p>
    <w:p>
      <w:pPr>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3"/>
        <w:bidi w:val="0"/>
        <w:jc w:val="center"/>
        <w:rPr>
          <w:rFonts w:hint="eastAsia"/>
          <w:lang w:val="en-US" w:eastAsia="zh-CN"/>
        </w:rPr>
      </w:pPr>
      <w:bookmarkStart w:id="20" w:name="_Toc1360"/>
      <w:r>
        <w:rPr>
          <w:rFonts w:hint="eastAsia"/>
          <w:lang w:val="en-US" w:eastAsia="zh-CN"/>
        </w:rPr>
        <w:t>查干湖淡水鱼</w:t>
      </w:r>
      <w:bookmarkEnd w:id="20"/>
    </w:p>
    <w:tbl>
      <w:tblPr>
        <w:tblStyle w:val="13"/>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918"/>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吉林省松原市</w:t>
            </w:r>
          </w:p>
        </w:tc>
        <w:tc>
          <w:tcPr>
            <w:tcW w:w="1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查干湖淡水鱼</w:t>
            </w:r>
          </w:p>
        </w:tc>
        <w:tc>
          <w:tcPr>
            <w:tcW w:w="4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drawing>
                <wp:inline distT="0" distB="0" distL="114300" distR="114300">
                  <wp:extent cx="854075" cy="686435"/>
                  <wp:effectExtent l="0" t="0" r="3175" b="18415"/>
                  <wp:docPr id="19" name="图片 19"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img1"/>
                          <pic:cNvPicPr>
                            <a:picLocks noChangeAspect="1"/>
                          </pic:cNvPicPr>
                        </pic:nvPicPr>
                        <pic:blipFill>
                          <a:blip r:embed="rId13"/>
                          <a:stretch>
                            <a:fillRect/>
                          </a:stretch>
                        </pic:blipFill>
                        <pic:spPr>
                          <a:xfrm>
                            <a:off x="0" y="0"/>
                            <a:ext cx="854075" cy="686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春有生机之光，夏有佳境之美，秋有书画之绝，冬有渔猎之趣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前郭尔罗斯蒙古族自治县农业农村局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前郭尔罗斯蒙古族自治县农业农村局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前郭尔罗斯查干湖旅游经济开发区查干湖渔场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9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东经124°03′-124°34′，北纬45°09′-45°30′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9" w:hRule="atLeast"/>
          <w:jc w:val="center"/>
        </w:trPr>
        <w:tc>
          <w:tcPr>
            <w:tcW w:w="2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9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查干湖，蒙古语为“查干淖尔”，意为白色圣洁的湖。位于吉林省西北部，西邻乾安县，北接大安市，东珲乌公路和长白铁路，地理位置在东经124°03″~124°34″，北纬45°09″~45°30″，湖面南北长达37公里，东西最宽处17公里，在海拔130米时，湖面面积60.4万亩，有效渔业水面45.8万亩，苇源面积13.5万亩，蓄水量达6.5亿立方米，平均水深2.5米，最深达6米。查干湖属平原冲击型湖泊，湖水PH值在8.5~8.9之间，属霍林河末端的堰塞湖泊，水域辽阔，底貌平坦。湖内生物种群丰富，水质适应大多数温水性鱼类生长繁衍。盛产胖头鱼、鲤鱼、鲫鱼、大白鱼、麻鲢鱼和虾类深受消费者喜爱，胖头鱼（鳙鱼）先后获得国家AA级绿色食品和有机食品双认证，并获得了中国名牌农产品称号。</w:t>
            </w:r>
          </w:p>
        </w:tc>
      </w:tr>
    </w:tbl>
    <w:p>
      <w:pPr>
        <w:rPr>
          <w:rFonts w:hint="eastAsia"/>
          <w:lang w:val="en-US" w:eastAsia="zh-CN"/>
        </w:rPr>
      </w:pPr>
    </w:p>
    <w:p>
      <w:pPr>
        <w:pStyle w:val="3"/>
        <w:bidi w:val="0"/>
        <w:jc w:val="center"/>
        <w:rPr>
          <w:rFonts w:hint="eastAsia"/>
          <w:lang w:val="en-US" w:eastAsia="zh-CN"/>
        </w:rPr>
      </w:pPr>
      <w:bookmarkStart w:id="21" w:name="_Toc12726"/>
      <w:r>
        <w:rPr>
          <w:rFonts w:hint="eastAsia"/>
          <w:lang w:val="en-US" w:eastAsia="zh-CN"/>
        </w:rPr>
        <w:t>黄松甸黑木耳</w:t>
      </w:r>
      <w:bookmarkEnd w:id="21"/>
    </w:p>
    <w:tbl>
      <w:tblPr>
        <w:tblStyle w:val="13"/>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876"/>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7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吉林省蛟河市</w:t>
            </w:r>
          </w:p>
        </w:tc>
        <w:tc>
          <w:tcPr>
            <w:tcW w:w="187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黄松甸黑木耳</w:t>
            </w:r>
          </w:p>
        </w:tc>
        <w:tc>
          <w:tcPr>
            <w:tcW w:w="4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73760" cy="574040"/>
                  <wp:effectExtent l="0" t="0" r="2540" b="16510"/>
                  <wp:docPr id="5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8"/>
                          <pic:cNvPicPr>
                            <a:picLocks noChangeAspect="1"/>
                          </pic:cNvPicPr>
                        </pic:nvPicPr>
                        <pic:blipFill>
                          <a:blip r:embed="rId21"/>
                          <a:stretch>
                            <a:fillRect/>
                          </a:stretch>
                        </pic:blipFill>
                        <pic:spPr>
                          <a:xfrm>
                            <a:off x="0" y="0"/>
                            <a:ext cx="873760" cy="574040"/>
                          </a:xfrm>
                          <a:prstGeom prst="rect">
                            <a:avLst/>
                          </a:prstGeom>
                          <a:noFill/>
                          <a:ln w="9525">
                            <a:noFill/>
                          </a:ln>
                        </pic:spPr>
                      </pic:pic>
                    </a:graphicData>
                  </a:graphic>
                </wp:inline>
              </w:drawing>
            </w:r>
            <w:r>
              <w:rPr>
                <w:rFonts w:hint="eastAsia" w:ascii="仿宋" w:hAnsi="仿宋" w:eastAsia="仿宋" w:cs="仿宋"/>
                <w:b w:val="0"/>
                <w:bCs w:val="0"/>
                <w:sz w:val="24"/>
                <w:szCs w:val="24"/>
                <w:lang w:eastAsia="zh-CN"/>
              </w:rPr>
              <w:drawing>
                <wp:inline distT="0" distB="0" distL="114300" distR="114300">
                  <wp:extent cx="854075" cy="686435"/>
                  <wp:effectExtent l="0" t="0" r="3175" b="18415"/>
                  <wp:docPr id="20" name="图片 20"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img1"/>
                          <pic:cNvPicPr>
                            <a:picLocks noChangeAspect="1"/>
                          </pic:cNvPicPr>
                        </pic:nvPicPr>
                        <pic:blipFill>
                          <a:blip r:embed="rId13"/>
                          <a:stretch>
                            <a:fillRect/>
                          </a:stretch>
                        </pic:blipFill>
                        <pic:spPr>
                          <a:xfrm>
                            <a:off x="0" y="0"/>
                            <a:ext cx="854075" cy="686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源自长白山林海绝地，成在黄松甸水畔净天，黄松甸黑木耳是您不二的选择！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蛟河市黄松甸食(药)用菌协会</w:t>
            </w:r>
            <w:r>
              <w:rPr>
                <w:rFonts w:hint="eastAsia" w:ascii="仿宋" w:hAnsi="仿宋" w:eastAsia="仿宋" w:cs="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蛟河市农业农村局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蛟河市地理标志管理办公室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蛟河市黄松甸镇、白石山镇、漂河镇、前进乡、新站镇、乌林朝鲜族乡、拉法街道、天岗镇、庆岭镇、松江镇、天北镇、新农街和河南街13个乡镇街，东经126°45′—127°56′，北纬43°12′—44°09′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07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吉林省蛟河市黄松甸镇地处长吉图经济圈核心地带，长图铁路横贯全镇并设有站点，302国道穿镇而过，长珲高速与全国高速路网连接并在镇内设有进出口。黄松甸镇幅员面积623平方公里，森林覆盖率高达91%，这里地处北纬43度线，亚温带大陆性季风气候，使这里冬季漫长寒冷，春秋两季昼夜温差达15摄氏度以上。高山林水间汇聚的威虎河、义气河两水环绕，水质清澈，源源不绝。这些独特的资源优势形成的小气候， 非常适合菌类物质生长、沉淀。黄松甸镇食用菌产业依托这一自然优势、区位优势厚积薄发、欣欣向荣。 黄松甸黑木耳，一耳两季，分春耳、秋耳。在技术方面黄松甸黑木耳在原有大地栽培的基础上，创新性的采用了吊袋栽培技术，通过吊袋立体式的栽培方式，使得木耳菌袋与地面分离，大大减少了木耳表面的杂质，从而更加符合卫生环保的要求，单位面积木耳栽培量是传统地栽的4—5倍。 黄松甸黑木耳品质具有“碗状小、色泽黑、肉体厚、密度硬、口感脆、品质纯”六大感官特点，各项理化指标均优于国内其他同类产品。</w:t>
            </w:r>
          </w:p>
        </w:tc>
      </w:tr>
    </w:tbl>
    <w:p>
      <w:pPr>
        <w:rPr>
          <w:rFonts w:hint="eastAsia"/>
          <w:lang w:val="en-US" w:eastAsia="zh-CN"/>
        </w:rPr>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Corbel"/>
    <w:panose1 w:val="00000000000000000000"/>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4"/>
      </w:rPr>
      <mc:AlternateContent>
        <mc:Choice Requires="wps">
          <w:drawing>
            <wp:anchor distT="0" distB="0" distL="114300" distR="114300" simplePos="0" relativeHeight="251709440" behindDoc="0" locked="0" layoutInCell="1" allowOverlap="1">
              <wp:simplePos x="0" y="0"/>
              <wp:positionH relativeFrom="column">
                <wp:posOffset>3334385</wp:posOffset>
              </wp:positionH>
              <wp:positionV relativeFrom="paragraph">
                <wp:posOffset>-193675</wp:posOffset>
              </wp:positionV>
              <wp:extent cx="1426845" cy="439420"/>
              <wp:effectExtent l="0" t="0" r="1905" b="17780"/>
              <wp:wrapNone/>
              <wp:docPr id="5" name="文本框 5"/>
              <wp:cNvGraphicFramePr/>
              <a:graphic xmlns:a="http://schemas.openxmlformats.org/drawingml/2006/main">
                <a:graphicData uri="http://schemas.microsoft.com/office/word/2010/wordprocessingShape">
                  <wps:wsp>
                    <wps:cNvSpPr txBox="1"/>
                    <wps:spPr>
                      <a:xfrm>
                        <a:off x="0" y="0"/>
                        <a:ext cx="142684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64" w:lineRule="auto"/>
                            <w:jc w:val="right"/>
                            <w:rPr>
                              <w:sz w:val="18"/>
                              <w:szCs w:val="18"/>
                            </w:rPr>
                          </w:pPr>
                          <w:r>
                            <w:rPr>
                              <w:rFonts w:hint="eastAsia"/>
                              <w:sz w:val="18"/>
                              <w:szCs w:val="18"/>
                            </w:rPr>
                            <w:t>消费索引电子手册</w:t>
                          </w:r>
                        </w:p>
                        <w:p>
                          <w:pPr>
                            <w:pStyle w:val="2"/>
                            <w:adjustRightInd w:val="0"/>
                            <w:snapToGrid w:val="0"/>
                            <w:spacing w:before="0" w:after="0" w:line="264" w:lineRule="auto"/>
                            <w:jc w:val="right"/>
                            <w:rPr>
                              <w:b w:val="0"/>
                              <w:bCs/>
                              <w:sz w:val="18"/>
                              <w:szCs w:val="18"/>
                            </w:rPr>
                          </w:pPr>
                          <w:r>
                            <w:rPr>
                              <w:rFonts w:hint="eastAsia"/>
                              <w:b w:val="0"/>
                              <w:bCs/>
                              <w:sz w:val="18"/>
                              <w:szCs w:val="18"/>
                              <w:lang w:val="en-US" w:eastAsia="zh-CN"/>
                            </w:rPr>
                            <w:t>吉林省</w:t>
                          </w:r>
                          <w:r>
                            <w:rPr>
                              <w:rFonts w:hint="eastAsia"/>
                              <w:b w:val="0"/>
                              <w:bCs/>
                              <w:sz w:val="18"/>
                              <w:szCs w:val="18"/>
                            </w:rPr>
                            <w:t>·专辑</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15.25pt;height:34.6pt;width:112.35pt;z-index:251709440;mso-width-relative:page;mso-height-relative:page;" fillcolor="#FFFFFF [3201]" filled="t" stroked="f" coordsize="21600,21600" o:gfxdata="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bigovXAAAACgEAAA8A&#10;AAAAAAAAAQAgAAAAIgAAAGRycy9kb3ducmV2LnhtbFBLAQIUABQAAAAIAIdO4kCiskjXUQIAAI8E&#10;AAAOAAAAAAAAAAEAIAAAACYBAABkcnMvZTJvRG9jLnhtbFBLBQYAAAAABgAGAFkBAADpBQAAAAA=&#10;">
              <v:fill on="t" focussize="0,0"/>
              <v:stroke on="f" weight="0.5pt"/>
              <v:imagedata o:title=""/>
              <o:lock v:ext="edit" aspectratio="f"/>
              <v:textbox>
                <w:txbxContent>
                  <w:p>
                    <w:pPr>
                      <w:adjustRightInd w:val="0"/>
                      <w:snapToGrid w:val="0"/>
                      <w:spacing w:line="264" w:lineRule="auto"/>
                      <w:jc w:val="right"/>
                      <w:rPr>
                        <w:sz w:val="18"/>
                        <w:szCs w:val="18"/>
                      </w:rPr>
                    </w:pPr>
                    <w:r>
                      <w:rPr>
                        <w:rFonts w:hint="eastAsia"/>
                        <w:sz w:val="18"/>
                        <w:szCs w:val="18"/>
                      </w:rPr>
                      <w:t>消费索引电子手册</w:t>
                    </w:r>
                  </w:p>
                  <w:p>
                    <w:pPr>
                      <w:pStyle w:val="2"/>
                      <w:adjustRightInd w:val="0"/>
                      <w:snapToGrid w:val="0"/>
                      <w:spacing w:before="0" w:after="0" w:line="264" w:lineRule="auto"/>
                      <w:jc w:val="right"/>
                      <w:rPr>
                        <w:b w:val="0"/>
                        <w:bCs/>
                        <w:sz w:val="18"/>
                        <w:szCs w:val="18"/>
                      </w:rPr>
                    </w:pPr>
                    <w:r>
                      <w:rPr>
                        <w:rFonts w:hint="eastAsia"/>
                        <w:b w:val="0"/>
                        <w:bCs/>
                        <w:sz w:val="18"/>
                        <w:szCs w:val="18"/>
                        <w:lang w:val="en-US" w:eastAsia="zh-CN"/>
                      </w:rPr>
                      <w:t>吉林省</w:t>
                    </w:r>
                    <w:r>
                      <w:rPr>
                        <w:rFonts w:hint="eastAsia"/>
                        <w:b w:val="0"/>
                        <w:bCs/>
                        <w:sz w:val="18"/>
                        <w:szCs w:val="18"/>
                      </w:rPr>
                      <w:t>·专辑</w:t>
                    </w:r>
                  </w:p>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193F4F"/>
    <w:multiLevelType w:val="singleLevel"/>
    <w:tmpl w:val="B1193F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0020153"/>
    <w:rsid w:val="00165ECD"/>
    <w:rsid w:val="001A23D0"/>
    <w:rsid w:val="001C5E1C"/>
    <w:rsid w:val="0020641A"/>
    <w:rsid w:val="00225103"/>
    <w:rsid w:val="00235F1F"/>
    <w:rsid w:val="00293AE7"/>
    <w:rsid w:val="002F45A8"/>
    <w:rsid w:val="003678ED"/>
    <w:rsid w:val="00410E20"/>
    <w:rsid w:val="004B413E"/>
    <w:rsid w:val="004E5A8D"/>
    <w:rsid w:val="00627D59"/>
    <w:rsid w:val="006A24FC"/>
    <w:rsid w:val="006B0F07"/>
    <w:rsid w:val="007233EF"/>
    <w:rsid w:val="00752B2E"/>
    <w:rsid w:val="007F5A57"/>
    <w:rsid w:val="0081439C"/>
    <w:rsid w:val="00817DE2"/>
    <w:rsid w:val="0087222E"/>
    <w:rsid w:val="008D16CE"/>
    <w:rsid w:val="00916072"/>
    <w:rsid w:val="00941EA5"/>
    <w:rsid w:val="0095577A"/>
    <w:rsid w:val="009715B0"/>
    <w:rsid w:val="009A5265"/>
    <w:rsid w:val="009C0E06"/>
    <w:rsid w:val="00A73568"/>
    <w:rsid w:val="00AC7A62"/>
    <w:rsid w:val="00B445E7"/>
    <w:rsid w:val="00CF3E45"/>
    <w:rsid w:val="00D10DEC"/>
    <w:rsid w:val="00D71B1E"/>
    <w:rsid w:val="00DF09AC"/>
    <w:rsid w:val="00E14D90"/>
    <w:rsid w:val="00E84CDC"/>
    <w:rsid w:val="00EF76FC"/>
    <w:rsid w:val="01024712"/>
    <w:rsid w:val="01D44F21"/>
    <w:rsid w:val="02FE5532"/>
    <w:rsid w:val="03416788"/>
    <w:rsid w:val="03A56CDE"/>
    <w:rsid w:val="03E17A7C"/>
    <w:rsid w:val="0488438E"/>
    <w:rsid w:val="05327353"/>
    <w:rsid w:val="05BE3768"/>
    <w:rsid w:val="069606C2"/>
    <w:rsid w:val="08294C33"/>
    <w:rsid w:val="087D65E8"/>
    <w:rsid w:val="08E6041C"/>
    <w:rsid w:val="09A52092"/>
    <w:rsid w:val="09BB638D"/>
    <w:rsid w:val="09C310C6"/>
    <w:rsid w:val="09CA3BCC"/>
    <w:rsid w:val="0A527C41"/>
    <w:rsid w:val="0C513060"/>
    <w:rsid w:val="0CEC339C"/>
    <w:rsid w:val="0D002450"/>
    <w:rsid w:val="0E981F37"/>
    <w:rsid w:val="0F20277C"/>
    <w:rsid w:val="0F8C3453"/>
    <w:rsid w:val="0FE46D3B"/>
    <w:rsid w:val="10D457A4"/>
    <w:rsid w:val="128E7F98"/>
    <w:rsid w:val="12F30C3B"/>
    <w:rsid w:val="13D910C4"/>
    <w:rsid w:val="153B12E9"/>
    <w:rsid w:val="167B55A1"/>
    <w:rsid w:val="172343E5"/>
    <w:rsid w:val="172F3743"/>
    <w:rsid w:val="18102D92"/>
    <w:rsid w:val="18EC1235"/>
    <w:rsid w:val="19693EC4"/>
    <w:rsid w:val="1B1F6F91"/>
    <w:rsid w:val="1CC47546"/>
    <w:rsid w:val="1E7166CF"/>
    <w:rsid w:val="1E7346F8"/>
    <w:rsid w:val="1E92630F"/>
    <w:rsid w:val="1EE7797D"/>
    <w:rsid w:val="20102AA8"/>
    <w:rsid w:val="22206647"/>
    <w:rsid w:val="22830180"/>
    <w:rsid w:val="228A7540"/>
    <w:rsid w:val="23104BF4"/>
    <w:rsid w:val="23235EBF"/>
    <w:rsid w:val="23A43590"/>
    <w:rsid w:val="23AC15EB"/>
    <w:rsid w:val="24186D71"/>
    <w:rsid w:val="2779400D"/>
    <w:rsid w:val="29320154"/>
    <w:rsid w:val="2B6E6755"/>
    <w:rsid w:val="2C112588"/>
    <w:rsid w:val="300C5323"/>
    <w:rsid w:val="30556F4F"/>
    <w:rsid w:val="30A14292"/>
    <w:rsid w:val="31032110"/>
    <w:rsid w:val="32E41631"/>
    <w:rsid w:val="32ED5D38"/>
    <w:rsid w:val="33BD5241"/>
    <w:rsid w:val="33F42109"/>
    <w:rsid w:val="343916B5"/>
    <w:rsid w:val="35010DD0"/>
    <w:rsid w:val="35243A1E"/>
    <w:rsid w:val="35D71DFE"/>
    <w:rsid w:val="37977A80"/>
    <w:rsid w:val="39233582"/>
    <w:rsid w:val="39764394"/>
    <w:rsid w:val="3AF22D4D"/>
    <w:rsid w:val="3C0253B7"/>
    <w:rsid w:val="3C223F49"/>
    <w:rsid w:val="3D0909B4"/>
    <w:rsid w:val="3D20277C"/>
    <w:rsid w:val="3DDC6B28"/>
    <w:rsid w:val="3DF14A1D"/>
    <w:rsid w:val="3EB908C3"/>
    <w:rsid w:val="423B1683"/>
    <w:rsid w:val="43A06651"/>
    <w:rsid w:val="43DA7169"/>
    <w:rsid w:val="442E0A8A"/>
    <w:rsid w:val="44BB0CB2"/>
    <w:rsid w:val="44CC5460"/>
    <w:rsid w:val="45F757EC"/>
    <w:rsid w:val="47777F60"/>
    <w:rsid w:val="4A804647"/>
    <w:rsid w:val="4A9A3E60"/>
    <w:rsid w:val="4B4F2EA0"/>
    <w:rsid w:val="4B8E2A20"/>
    <w:rsid w:val="4CF93511"/>
    <w:rsid w:val="4D4C003A"/>
    <w:rsid w:val="508F25AB"/>
    <w:rsid w:val="50EA3412"/>
    <w:rsid w:val="535B00C4"/>
    <w:rsid w:val="53DF49E5"/>
    <w:rsid w:val="53EE0CBA"/>
    <w:rsid w:val="54605CD7"/>
    <w:rsid w:val="55963AE3"/>
    <w:rsid w:val="55B953A3"/>
    <w:rsid w:val="56EA2ACB"/>
    <w:rsid w:val="57A1140B"/>
    <w:rsid w:val="57BB05A7"/>
    <w:rsid w:val="58756BAB"/>
    <w:rsid w:val="58F716C6"/>
    <w:rsid w:val="59537D57"/>
    <w:rsid w:val="597065D6"/>
    <w:rsid w:val="5B924F3C"/>
    <w:rsid w:val="5BBA5290"/>
    <w:rsid w:val="5BE169E7"/>
    <w:rsid w:val="5E5E525A"/>
    <w:rsid w:val="5EE21BD1"/>
    <w:rsid w:val="5F68049C"/>
    <w:rsid w:val="60DF4FB0"/>
    <w:rsid w:val="619B4449"/>
    <w:rsid w:val="62315D4D"/>
    <w:rsid w:val="628C4757"/>
    <w:rsid w:val="636D4CC3"/>
    <w:rsid w:val="64996601"/>
    <w:rsid w:val="64E57B38"/>
    <w:rsid w:val="65BB3911"/>
    <w:rsid w:val="65C74001"/>
    <w:rsid w:val="660C0ED6"/>
    <w:rsid w:val="66B87205"/>
    <w:rsid w:val="67CE0A91"/>
    <w:rsid w:val="680F16A8"/>
    <w:rsid w:val="68A9248A"/>
    <w:rsid w:val="69116E8A"/>
    <w:rsid w:val="69661830"/>
    <w:rsid w:val="6D4430CB"/>
    <w:rsid w:val="6D9363C8"/>
    <w:rsid w:val="6EF40F7C"/>
    <w:rsid w:val="6F961E03"/>
    <w:rsid w:val="71EF45F7"/>
    <w:rsid w:val="728B61EB"/>
    <w:rsid w:val="732C5418"/>
    <w:rsid w:val="742E7B89"/>
    <w:rsid w:val="74675BF4"/>
    <w:rsid w:val="75623D42"/>
    <w:rsid w:val="757E7B4C"/>
    <w:rsid w:val="78127264"/>
    <w:rsid w:val="787717DC"/>
    <w:rsid w:val="78F331E3"/>
    <w:rsid w:val="79185E0B"/>
    <w:rsid w:val="796F1FBB"/>
    <w:rsid w:val="79B75411"/>
    <w:rsid w:val="7D162617"/>
    <w:rsid w:val="7F022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keepNext/>
      <w:keepLines/>
      <w:spacing w:before="340" w:after="330" w:line="576" w:lineRule="auto"/>
      <w:outlineLvl w:val="0"/>
    </w:pPr>
    <w:rPr>
      <w:b/>
      <w:kern w:val="44"/>
      <w:sz w:val="44"/>
    </w:rPr>
  </w:style>
  <w:style w:type="paragraph" w:styleId="4">
    <w:name w:val="heading 2"/>
    <w:basedOn w:val="1"/>
    <w:next w:val="1"/>
    <w:link w:val="25"/>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paragraph" w:styleId="6">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7">
    <w:name w:val="Normal Indent"/>
    <w:basedOn w:val="1"/>
    <w:qFormat/>
    <w:uiPriority w:val="0"/>
    <w:pPr>
      <w:autoSpaceDE w:val="0"/>
      <w:autoSpaceDN w:val="0"/>
      <w:adjustRightInd w:val="0"/>
      <w:jc w:val="left"/>
      <w:outlineLvl w:val="4"/>
    </w:pPr>
    <w:rPr>
      <w:b/>
      <w:kern w:val="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ascii="Calibri" w:hAnsi="Calibri" w:cs="Times New Roman"/>
      <w:kern w:val="0"/>
      <w:sz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qFormat/>
    <w:uiPriority w:val="0"/>
    <w:rPr>
      <w:i/>
    </w:rPr>
  </w:style>
  <w:style w:type="character" w:styleId="17">
    <w:name w:val="Hyperlink"/>
    <w:basedOn w:val="15"/>
    <w:qFormat/>
    <w:uiPriority w:val="0"/>
    <w:rPr>
      <w:color w:val="0000FF"/>
      <w:u w:val="single"/>
    </w:rPr>
  </w:style>
  <w:style w:type="character" w:customStyle="1" w:styleId="18">
    <w:name w:val="font31"/>
    <w:basedOn w:val="15"/>
    <w:qFormat/>
    <w:uiPriority w:val="99"/>
    <w:rPr>
      <w:rFonts w:ascii="宋体" w:hAnsi="宋体" w:eastAsia="宋体" w:cs="宋体"/>
      <w:color w:val="000000"/>
      <w:sz w:val="21"/>
      <w:szCs w:val="21"/>
      <w:u w:val="none"/>
    </w:rPr>
  </w:style>
  <w:style w:type="character" w:customStyle="1" w:styleId="19">
    <w:name w:val="font11"/>
    <w:basedOn w:val="15"/>
    <w:qFormat/>
    <w:uiPriority w:val="99"/>
    <w:rPr>
      <w:rFonts w:ascii="Arial" w:hAnsi="Arial" w:cs="Arial"/>
      <w:color w:val="000000"/>
      <w:sz w:val="21"/>
      <w:szCs w:val="21"/>
      <w:u w:val="none"/>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_Style 11"/>
    <w:basedOn w:val="1"/>
    <w:unhideWhenUsed/>
    <w:qFormat/>
    <w:uiPriority w:val="99"/>
    <w:pPr>
      <w:ind w:firstLine="420"/>
    </w:pPr>
  </w:style>
  <w:style w:type="paragraph" w:customStyle="1" w:styleId="23">
    <w:name w:val="p17"/>
    <w:basedOn w:val="1"/>
    <w:qFormat/>
    <w:uiPriority w:val="0"/>
    <w:pPr>
      <w:widowControl/>
    </w:pPr>
    <w:rPr>
      <w:kern w:val="0"/>
      <w:szCs w:val="21"/>
    </w:rPr>
  </w:style>
  <w:style w:type="character" w:customStyle="1" w:styleId="24">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25">
    <w:name w:val="标题 2 字符"/>
    <w:link w:val="4"/>
    <w:qFormat/>
    <w:uiPriority w:val="0"/>
    <w:rPr>
      <w:rFonts w:hint="eastAsia" w:ascii="宋体" w:hAnsi="宋体"/>
      <w:b/>
      <w:kern w:val="0"/>
      <w:sz w:val="30"/>
      <w:szCs w:val="36"/>
    </w:rPr>
  </w:style>
  <w:style w:type="character" w:customStyle="1" w:styleId="26">
    <w:name w:val="标题 1 字符"/>
    <w:link w:val="3"/>
    <w:qFormat/>
    <w:uiPriority w:val="0"/>
    <w:rPr>
      <w:b/>
      <w:kern w:val="44"/>
      <w:sz w:val="44"/>
    </w:rPr>
  </w:style>
  <w:style w:type="paragraph" w:styleId="27">
    <w:name w:val="List Paragraph"/>
    <w:basedOn w:val="1"/>
    <w:qFormat/>
    <w:uiPriority w:val="34"/>
    <w:pPr>
      <w:ind w:firstLine="420" w:firstLineChars="200"/>
    </w:pPr>
  </w:style>
  <w:style w:type="paragraph" w:customStyle="1" w:styleId="28">
    <w:name w:val="Heading5"/>
    <w:basedOn w:val="1"/>
    <w:next w:val="1"/>
    <w:qFormat/>
    <w:uiPriority w:val="0"/>
    <w:pPr>
      <w:keepNext/>
      <w:keepLines/>
      <w:spacing w:before="280" w:after="290" w:line="376" w:lineRule="auto"/>
      <w:ind w:firstLine="643" w:firstLineChars="200"/>
      <w:textAlignment w:val="baseline"/>
    </w:pPr>
    <w:rPr>
      <w:rFonts w:ascii="Times New Roman" w:hAnsi="Times New Roman" w:eastAsia="宋体" w:cs="Times New Roman"/>
      <w:b/>
      <w:bCs/>
      <w:sz w:val="28"/>
      <w:szCs w:val="28"/>
    </w:rPr>
  </w:style>
  <w:style w:type="paragraph" w:customStyle="1" w:styleId="29">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2389</Words>
  <Characters>13621</Characters>
  <Lines>113</Lines>
  <Paragraphs>31</Paragraphs>
  <TotalTime>6</TotalTime>
  <ScaleCrop>false</ScaleCrop>
  <LinksUpToDate>false</LinksUpToDate>
  <CharactersWithSpaces>15979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2020-10-12T09:04:00Z</dcterms:created>
  <dc:creator>旅程</dc:creator>
  <cp:lastModifiedBy>旅程</cp:lastModifiedBy>
  <dcterms:modified xsi:type="dcterms:W3CDTF">2020-12-03T06:27:43Z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